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1D9A3" w14:textId="77777777" w:rsidR="00674A8D" w:rsidRPr="00674A8D" w:rsidRDefault="00674A8D" w:rsidP="0067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4FD71D41" w14:textId="77777777" w:rsidR="00674A8D" w:rsidRPr="00674A8D" w:rsidRDefault="00674A8D" w:rsidP="0067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0A8A14B1" w14:textId="77777777" w:rsidR="00674A8D" w:rsidRPr="00674A8D" w:rsidRDefault="00674A8D" w:rsidP="0067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E48881D" w14:textId="77777777" w:rsidR="00674A8D" w:rsidRPr="00674A8D" w:rsidRDefault="00674A8D" w:rsidP="0067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6F9ABB1E" w14:textId="77777777" w:rsidR="00674A8D" w:rsidRPr="00674A8D" w:rsidRDefault="00674A8D" w:rsidP="0067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</w:p>
    <w:p w14:paraId="1E094E09" w14:textId="11EC1BD9" w:rsidR="00674A8D" w:rsidRPr="00674A8D" w:rsidRDefault="00674A8D" w:rsidP="00674A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Проект технической документации на </w:t>
      </w:r>
      <w:r w:rsidRPr="00674A8D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ru-RU"/>
          <w14:ligatures w14:val="none"/>
        </w:rPr>
        <w:t>пестицид</w:t>
      </w:r>
      <w:r w:rsidRPr="00674A8D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lang w:eastAsia="x-none"/>
          <w14:ligatures w14:val="none"/>
        </w:rPr>
        <w:t xml:space="preserve"> Кэйталин Экстра, ВДГ (687 г/кг глифосата кислоты (изопропиламинная соль)</w:t>
      </w:r>
    </w:p>
    <w:p w14:paraId="6603648B" w14:textId="77777777" w:rsidR="00674A8D" w:rsidRPr="00674A8D" w:rsidRDefault="00674A8D" w:rsidP="00674A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2B3507F5" w14:textId="77777777" w:rsidR="00674A8D" w:rsidRPr="00674A8D" w:rsidRDefault="00674A8D" w:rsidP="00674A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2C7F0537" w14:textId="77777777" w:rsidR="00674A8D" w:rsidRPr="00674A8D" w:rsidRDefault="00674A8D" w:rsidP="00674A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1FF7E633" w14:textId="77777777" w:rsidR="00674A8D" w:rsidRPr="00674A8D" w:rsidRDefault="00674A8D" w:rsidP="00674A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0446F67E" w14:textId="77777777" w:rsidR="00674A8D" w:rsidRPr="00674A8D" w:rsidRDefault="00674A8D" w:rsidP="00674A8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316AE996" w14:textId="77777777" w:rsidR="00674A8D" w:rsidRPr="00674A8D" w:rsidRDefault="00674A8D" w:rsidP="00674A8D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D8FE09A" w14:textId="77777777" w:rsidR="00674A8D" w:rsidRPr="00674A8D" w:rsidRDefault="00674A8D" w:rsidP="00674A8D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3A86E3A" w14:textId="77777777" w:rsidR="00674A8D" w:rsidRPr="00674A8D" w:rsidRDefault="00674A8D" w:rsidP="00674A8D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2F9991B2" w14:textId="77777777" w:rsidR="00674A8D" w:rsidRPr="00674A8D" w:rsidRDefault="00674A8D" w:rsidP="00674A8D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31771F59" w14:textId="77777777" w:rsidR="00674A8D" w:rsidRPr="00674A8D" w:rsidRDefault="00674A8D" w:rsidP="00674A8D">
      <w:pPr>
        <w:spacing w:after="0" w:line="360" w:lineRule="auto"/>
        <w:ind w:firstLine="552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1FA7053" w14:textId="77777777" w:rsidR="00674A8D" w:rsidRPr="00674A8D" w:rsidRDefault="00674A8D" w:rsidP="00674A8D">
      <w:pPr>
        <w:tabs>
          <w:tab w:val="left" w:pos="676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B3F592" w14:textId="77777777" w:rsidR="00674A8D" w:rsidRPr="00674A8D" w:rsidRDefault="00674A8D" w:rsidP="00674A8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75E0BE93" w14:textId="77777777" w:rsidR="00674A8D" w:rsidRPr="00674A8D" w:rsidRDefault="00674A8D" w:rsidP="00674A8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9FBF3C1" w14:textId="77777777" w:rsidR="00674A8D" w:rsidRPr="00674A8D" w:rsidRDefault="00674A8D" w:rsidP="00674A8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1C311BF" w14:textId="77777777" w:rsidR="00674A8D" w:rsidRPr="00674A8D" w:rsidRDefault="00674A8D" w:rsidP="00674A8D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 г</w:t>
      </w:r>
      <w:r w:rsidRPr="00674A8D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8952551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br w:type="page"/>
      </w:r>
    </w:p>
    <w:p w14:paraId="138CB60A" w14:textId="77777777" w:rsidR="00674A8D" w:rsidRPr="00674A8D" w:rsidRDefault="00674A8D" w:rsidP="00674A8D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6" w:name="_Toc146877551"/>
      <w:bookmarkStart w:id="17" w:name="_Toc147327235"/>
      <w:bookmarkStart w:id="18" w:name="_Toc147400492"/>
      <w:bookmarkStart w:id="19" w:name="_Toc147930814"/>
      <w:bookmarkStart w:id="20" w:name="_Toc147930842"/>
      <w:bookmarkStart w:id="21" w:name="_Toc152336443"/>
      <w:bookmarkStart w:id="22" w:name="_Toc152336471"/>
      <w:bookmarkStart w:id="23" w:name="_Toc153455305"/>
      <w:bookmarkStart w:id="24" w:name="_Toc161226478"/>
      <w:bookmarkStart w:id="25" w:name="_Toc161226506"/>
      <w:bookmarkStart w:id="26" w:name="_Toc162516269"/>
      <w:bookmarkStart w:id="27" w:name="_Toc165976679"/>
      <w:bookmarkStart w:id="28" w:name="_Toc180068294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830557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14B295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со статьей 10 Федерального закона от 19.07.1997 г.               № 109-ФЗ «О безопасном обращении с пестицидами и агрохимикатами»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08.08.2024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пестициды подлежат государственной экологической экспертизе.</w:t>
      </w:r>
    </w:p>
    <w:p w14:paraId="0B7DE585" w14:textId="77777777" w:rsidR="00674A8D" w:rsidRPr="00674A8D" w:rsidRDefault="00674A8D" w:rsidP="00674A8D">
      <w:pPr>
        <w:tabs>
          <w:tab w:val="num" w:pos="0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Регистрантом препарата является </w:t>
      </w: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ООО «ПРОЛАЙН»</w:t>
      </w:r>
      <w:r w:rsidRPr="00674A8D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.</w:t>
      </w:r>
    </w:p>
    <w:p w14:paraId="77DADCE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225995F6" w14:textId="77777777" w:rsidR="00674A8D" w:rsidRPr="00674A8D" w:rsidRDefault="00674A8D" w:rsidP="00674A8D">
      <w:pPr>
        <w:numPr>
          <w:ilvl w:val="0"/>
          <w:numId w:val="2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обеспечение экологической безопасности при обращении с пестицидами;</w:t>
      </w:r>
    </w:p>
    <w:p w14:paraId="61DAC493" w14:textId="77777777" w:rsidR="00674A8D" w:rsidRPr="00674A8D" w:rsidRDefault="00674A8D" w:rsidP="00674A8D">
      <w:pPr>
        <w:numPr>
          <w:ilvl w:val="0"/>
          <w:numId w:val="2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минимальный ущерб окружающей среде и населению при устойчивом социально-экономическом развитии;</w:t>
      </w:r>
    </w:p>
    <w:p w14:paraId="20B41CD0" w14:textId="77777777" w:rsidR="00674A8D" w:rsidRPr="00674A8D" w:rsidRDefault="00674A8D" w:rsidP="00674A8D">
      <w:pPr>
        <w:numPr>
          <w:ilvl w:val="0"/>
          <w:numId w:val="2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благоприятные экологические условия для проживания населения;</w:t>
      </w:r>
    </w:p>
    <w:p w14:paraId="38C21022" w14:textId="77777777" w:rsidR="00674A8D" w:rsidRPr="00674A8D" w:rsidRDefault="00674A8D" w:rsidP="00674A8D">
      <w:pPr>
        <w:numPr>
          <w:ilvl w:val="0"/>
          <w:numId w:val="2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максимально возможное снижение потенциальной опасности пестицидов для окружающей среды.</w:t>
      </w:r>
    </w:p>
    <w:p w14:paraId="07F1C784" w14:textId="6D2160F6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ФБУН «ФНЦГ им. Ф.Ф. Эрисмана» Роспотребнадзора от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20</w:t>
      </w: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09</w:t>
      </w: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.2024 г.,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</w:t>
      </w: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09</w:t>
      </w: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.2024 г., факультета почвоведения МГУ имени М.В. Ломоносова от 03.10.2024 г., 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АНО «АИЦ» от 20.05.2024 г. </w:t>
      </w:r>
    </w:p>
    <w:p w14:paraId="617FBA4A" w14:textId="77777777" w:rsidR="00674A8D" w:rsidRPr="00674A8D" w:rsidRDefault="00674A8D" w:rsidP="00674A8D">
      <w:pPr>
        <w:spacing w:line="254" w:lineRule="auto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sdt>
      <w:sdtPr>
        <w:rPr>
          <w:rFonts w:ascii="Aptos" w:eastAsia="Aptos" w:hAnsi="Aptos" w:cs="Times New Roman"/>
          <w:b/>
          <w:bCs/>
          <w:kern w:val="0"/>
          <w14:ligatures w14:val="none"/>
        </w:rPr>
        <w:id w:val="-668175548"/>
        <w:docPartObj>
          <w:docPartGallery w:val="Table of Contents"/>
          <w:docPartUnique/>
        </w:docPartObj>
      </w:sdtPr>
      <w:sdtContent>
        <w:p w14:paraId="7C1A9095" w14:textId="77777777" w:rsidR="00674A8D" w:rsidRPr="00674A8D" w:rsidRDefault="00674A8D" w:rsidP="00674A8D">
          <w:pPr>
            <w:keepNext/>
            <w:keepLines/>
            <w:spacing w:before="240" w:after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674A8D"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  <w:t>Оглавление</w:t>
          </w:r>
        </w:p>
        <w:p w14:paraId="5B50BBF1" w14:textId="669F797A" w:rsidR="00987473" w:rsidRPr="00987473" w:rsidRDefault="00674A8D" w:rsidP="00987473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r w:rsidRPr="00674A8D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674A8D">
            <w:rPr>
              <w:rFonts w:ascii="Times New Roman" w:hAnsi="Times New Roman"/>
              <w:sz w:val="28"/>
              <w:szCs w:val="28"/>
            </w:rPr>
            <w:instrText xml:space="preserve"> TOC \o "1-4" \h \z \u </w:instrText>
          </w:r>
          <w:r w:rsidRPr="00674A8D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80068294" w:history="1">
            <w:r w:rsidR="00987473"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АННОТАЦИЯ</w:t>
            </w:r>
            <w:r w:rsidR="00987473"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87473"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87473"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_Toc180068294 \h </w:instrText>
            </w:r>
            <w:r w:rsidR="00987473"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87473"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987473"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</w:t>
            </w:r>
            <w:r w:rsidR="00987473"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46F719" w14:textId="7C763A0D" w:rsidR="00987473" w:rsidRPr="00987473" w:rsidRDefault="00987473" w:rsidP="00987473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295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1. ОБЩИЕ ПОЛОЖЕНИЯ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_Toc180068295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825F2A" w14:textId="13917BB4" w:rsidR="00987473" w:rsidRPr="00987473" w:rsidRDefault="00987473" w:rsidP="00987473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296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_Toc180068296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898301" w14:textId="0DC56A4E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297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2.1. Объекты, на которых намечено применение пестицида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_Toc180068297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73B8C4" w14:textId="2EB466C5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298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2.2. </w:t>
            </w:r>
            <w:r w:rsidRPr="00987473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_Toc180068298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43DA0" w14:textId="1AC6965E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299" w:history="1">
            <w:r w:rsidRPr="00987473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2.3. Периоды и режимы воздействия пестицида на территории объектов применения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_Toc180068299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3CF7DE" w14:textId="422EEAAB" w:rsidR="00987473" w:rsidRPr="00987473" w:rsidRDefault="00987473" w:rsidP="00987473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00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 ПОЯСНИТЕЛЬНАЯ ЗАПИСКА ПО ОБОСНОВЫВАЮЩЕЙ ДОКУМЕНТАЦИИ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_Toc180068300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FDEA32" w14:textId="7DA92FD7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01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3.1. Общие </w:t>
            </w:r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ar-SA"/>
              </w:rPr>
              <w:t>сведения об объекте государственной экологической экспертизы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_Toc180068301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0E653E" w14:textId="3823C7EA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02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3.2. Сведения по оценке биологической эффективности, безопасности и свойствам пестицида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_Toc180068302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4ED6B7" w14:textId="0F719747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03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3.3. Физико-химические свойства действующего вещества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_Toc180068303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8FE021" w14:textId="12C9F72B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04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3.4. Физико-химические свойства технического продукта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_Toc180068304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28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962DED" w14:textId="30081604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05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3.5. Физико-химические свойства препаративной формы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_Toc180068305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6CB210" w14:textId="300C7719" w:rsidR="00987473" w:rsidRPr="00987473" w:rsidRDefault="00987473" w:rsidP="00987473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06" w:history="1">
            <w:r w:rsidRPr="00987473">
              <w:rPr>
                <w:rStyle w:val="ad"/>
                <w:rFonts w:ascii="Times New Roman" w:eastAsia="Times New Roman" w:hAnsi="Times New Roman"/>
                <w:caps/>
                <w:noProof/>
                <w:sz w:val="28"/>
                <w:szCs w:val="28"/>
                <w:lang w:eastAsia="ru-RU"/>
              </w:rPr>
              <w:t>4. ЦЕЛЬ И ПОТРЕБНОСТЬ РЕАЛИЗАЦИИ НАМЕЧАЕМОЙ ХОЗЯЙСТВЕННОЙ ДЕЯТЕЛЬНОСТИ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_Toc180068306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F80F43" w14:textId="2E4194D4" w:rsidR="00987473" w:rsidRPr="00987473" w:rsidRDefault="00987473" w:rsidP="00987473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07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5. ОПИСАНИЕ ВОЗМОЖНЫХ ВИДОВ ВОЗДЕЙСТВИЯ НА ОКРУЖАЮЩУЮ СРЕДУ ПРИ ПРИМЕНЕНИИ </w:t>
            </w:r>
            <w:r w:rsidRPr="00987473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 w:bidi="ru-RU"/>
              </w:rPr>
              <w:t>КЭЙТАЛИН ЭКСТРА, ВДГ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_Toc180068307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58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6E7C7D" w14:textId="5D24E322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08" w:history="1">
            <w:r w:rsidRPr="00987473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5.1. Оценка воздействия на атмосферный воздух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_Toc180068308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58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AAD0FB" w14:textId="2A0A2AF3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09" w:history="1">
            <w:r w:rsidRPr="00987473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>5.2. Оценка воздействия на поверхностные водные ресурсы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_Toc180068309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58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1FF38A" w14:textId="2B1D42C9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10" w:history="1">
            <w:r w:rsidRPr="00987473">
              <w:rPr>
                <w:rStyle w:val="ad"/>
                <w:rFonts w:ascii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5.3. </w:t>
            </w:r>
            <w:r w:rsidRPr="00987473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Оценка воздействия на геологическую среду и подземные воды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_Toc180068310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58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CEE47A" w14:textId="5C5C9E59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11" w:history="1">
            <w:r w:rsidRPr="00987473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5.4. </w:t>
            </w:r>
            <w:r w:rsidRPr="00987473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Оценка воздействия на почвенный покров и земельные ресурсы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_Toc180068311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59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1FF304" w14:textId="06D2FE24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12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 Оценка воздействия на растительный и животный мир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_Toc180068312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60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BA9A00" w14:textId="65856AD5" w:rsidR="00987473" w:rsidRPr="00987473" w:rsidRDefault="00987473" w:rsidP="00987473">
          <w:pPr>
            <w:pStyle w:val="3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13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 Воздействие на животный мир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_Toc180068313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60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B2B8A8" w14:textId="7A3B6F27" w:rsidR="00987473" w:rsidRPr="00987473" w:rsidRDefault="00987473" w:rsidP="00987473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14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5.5.1.1. Наземные позвоночные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_Toc180068314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60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62E9E3" w14:textId="4F6F7CC5" w:rsidR="00987473" w:rsidRPr="00987473" w:rsidRDefault="00987473" w:rsidP="00987473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15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5.5.1.2. Водные организмы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_Toc180068315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60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B36FD3" w14:textId="24BAF1B0" w:rsidR="00987473" w:rsidRPr="00987473" w:rsidRDefault="00987473" w:rsidP="00987473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16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</w:rPr>
              <w:t>5.5.1.3. Высшие водные растения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_Toc180068316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60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D5BAA2" w14:textId="243CD247" w:rsidR="00987473" w:rsidRPr="00987473" w:rsidRDefault="00987473" w:rsidP="00987473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17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5.5.1.4. Медоносные пчелы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_Toc180068317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61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65AF8B" w14:textId="79869AAE" w:rsidR="00987473" w:rsidRPr="00987473" w:rsidRDefault="00987473" w:rsidP="00987473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18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5.5.1.5. Дождевые черви и почвенные микроорганизмы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_Toc180068318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62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0C4767" w14:textId="6BEA1FED" w:rsidR="00987473" w:rsidRPr="00987473" w:rsidRDefault="00987473" w:rsidP="00987473">
          <w:pPr>
            <w:pStyle w:val="41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19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5.5.1.6. Другие нецелевые организмы флоры и фауны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_Toc180068319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62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1C2770" w14:textId="7BBB30FF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20" w:history="1">
            <w:r w:rsidRPr="00987473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5.6. </w:t>
            </w:r>
            <w:r w:rsidRPr="00987473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Оценка воздействия на особо охраняемые природные территории (ООПТ) и другие районы высокой экологической значимости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_Toc180068320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62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21D88B" w14:textId="170E9896" w:rsidR="00987473" w:rsidRPr="00987473" w:rsidRDefault="00987473" w:rsidP="00987473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21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_Toc180068321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65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7D12B4" w14:textId="3F46D9BC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22" w:history="1">
            <w:r w:rsidRPr="00987473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6.1. Мероприятия по охране атмосферного воздуха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_Toc180068322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65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4364CD" w14:textId="680958D0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23" w:history="1">
            <w:r w:rsidRPr="00987473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6.2. Мероприятия по охране водных ресурсов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_Toc180068323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65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7EC50A" w14:textId="2A78B2F1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24" w:history="1">
            <w:r w:rsidRPr="00987473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6.3. Мероприятия по охране геологической среды и подземных вод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_Toc180068324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66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5A1629" w14:textId="49352558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25" w:history="1">
            <w:r w:rsidRPr="00987473">
              <w:rPr>
                <w:rStyle w:val="ad"/>
                <w:rFonts w:ascii="Times New Roman" w:eastAsia="Times New Roman" w:hAnsi="Times New Roman"/>
                <w:iCs/>
                <w:noProof/>
                <w:sz w:val="28"/>
                <w:szCs w:val="28"/>
                <w:lang w:eastAsia="ru-RU"/>
              </w:rPr>
              <w:t xml:space="preserve">6.4. </w:t>
            </w:r>
            <w:r w:rsidRPr="00987473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Мероприятия по охране почвенного покрова и земельных ресурсов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_Toc180068325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66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10CA63" w14:textId="73E52985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26" w:history="1">
            <w:r w:rsidRPr="00987473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6.5. Мероприятия по охране особо охраняемых природных территорий (ООПТ), растительного и животного мира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_Toc180068326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67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30E0E0" w14:textId="6AAE4DDE" w:rsidR="00987473" w:rsidRPr="00987473" w:rsidRDefault="00987473" w:rsidP="00987473">
          <w:pPr>
            <w:pStyle w:val="23"/>
            <w:tabs>
              <w:tab w:val="right" w:leader="dot" w:pos="9345"/>
            </w:tabs>
            <w:spacing w:after="0" w:line="360" w:lineRule="auto"/>
            <w:ind w:left="0"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27" w:history="1">
            <w:r w:rsidRPr="00987473">
              <w:rPr>
                <w:rStyle w:val="ad"/>
                <w:rFonts w:ascii="Times New Roman" w:hAnsi="Times New Roman"/>
                <w:noProof/>
                <w:sz w:val="28"/>
                <w:szCs w:val="28"/>
                <w:lang w:eastAsia="ru-RU"/>
              </w:rPr>
              <w:t>6.6. Мероприятия по минимизации воздействия на окружающую среду при обращении с отходами производства и потребления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_Toc180068327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68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F2FD1F5" w14:textId="2407F0DF" w:rsidR="00987473" w:rsidRPr="00987473" w:rsidRDefault="00987473" w:rsidP="00987473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28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_Toc180068328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72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968303" w14:textId="584CE232" w:rsidR="00987473" w:rsidRPr="00987473" w:rsidRDefault="00987473" w:rsidP="00987473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="Times New Roman" w:eastAsiaTheme="minorEastAsia" w:hAnsi="Times New Roman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80068329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8. РЕЗЮМЕ НЕТЕХНИЧЕСКОГО ХАРАКТЕРА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_Toc180068329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73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2CF038" w14:textId="1C4B047B" w:rsidR="00987473" w:rsidRDefault="00987473" w:rsidP="00987473">
          <w:pPr>
            <w:pStyle w:val="12"/>
            <w:tabs>
              <w:tab w:val="right" w:leader="dot" w:pos="9345"/>
            </w:tabs>
            <w:spacing w:after="0" w:line="360" w:lineRule="auto"/>
            <w:ind w:firstLine="567"/>
            <w:jc w:val="both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0068330" w:history="1">
            <w:r w:rsidRPr="00987473">
              <w:rPr>
                <w:rStyle w:val="ad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9. ПЕРЕЧЕНЬ ДОКУМЕНТОВ ПО НОРМАТИВНО-МЕТОДИЧЕСКОМУ ОБЕСПЕЧЕНИЮ И ИСПОЛЬЗУЕМАЯ ЛИТЕРАТУРА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_Toc180068330 \h </w:instrTex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78</w:t>
            </w:r>
            <w:r w:rsidRPr="00987473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C2DF6C4" w14:textId="54085DEC" w:rsidR="00674A8D" w:rsidRPr="00674A8D" w:rsidRDefault="00674A8D" w:rsidP="00674A8D">
          <w:pPr>
            <w:spacing w:after="0" w:line="360" w:lineRule="auto"/>
            <w:ind w:firstLine="567"/>
            <w:jc w:val="both"/>
            <w:rPr>
              <w:rFonts w:ascii="Times New Roman" w:eastAsia="Aptos" w:hAnsi="Times New Roman" w:cs="Times New Roman"/>
              <w:kern w:val="0"/>
              <w:sz w:val="28"/>
              <w:szCs w:val="28"/>
              <w14:ligatures w14:val="none"/>
            </w:rPr>
          </w:pPr>
          <w:r w:rsidRPr="00674A8D">
            <w:rPr>
              <w:rFonts w:ascii="Times New Roman" w:eastAsia="Aptos" w:hAnsi="Times New Roman" w:cs="Times New Roman"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2A60758D" w14:textId="77777777" w:rsidR="00674A8D" w:rsidRPr="00674A8D" w:rsidRDefault="00674A8D" w:rsidP="00674A8D">
      <w:pPr>
        <w:spacing w:line="254" w:lineRule="auto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p w14:paraId="518A77FA" w14:textId="77777777" w:rsidR="00674A8D" w:rsidRPr="00674A8D" w:rsidRDefault="00674A8D" w:rsidP="00674A8D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29" w:name="_Toc138952552"/>
      <w:bookmarkStart w:id="30" w:name="_Toc142312901"/>
      <w:bookmarkStart w:id="31" w:name="_Toc146806463"/>
      <w:bookmarkStart w:id="32" w:name="_Toc146806507"/>
      <w:bookmarkStart w:id="33" w:name="_Toc147327236"/>
      <w:bookmarkStart w:id="34" w:name="_Toc147400493"/>
      <w:bookmarkStart w:id="35" w:name="_Toc147930815"/>
      <w:bookmarkStart w:id="36" w:name="_Toc147930843"/>
      <w:bookmarkStart w:id="37" w:name="_Toc152336444"/>
      <w:bookmarkStart w:id="38" w:name="_Toc152336472"/>
      <w:bookmarkStart w:id="39" w:name="_Toc153455306"/>
      <w:bookmarkStart w:id="40" w:name="_Toc161226479"/>
      <w:bookmarkStart w:id="41" w:name="_Toc161226507"/>
      <w:bookmarkStart w:id="42" w:name="_Toc162516270"/>
      <w:bookmarkStart w:id="43" w:name="_Toc165976680"/>
      <w:bookmarkStart w:id="44" w:name="_Toc180068295"/>
      <w:r w:rsidRPr="00674A8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8299A8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1A3A5B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2C3DA4EE" w14:textId="2324D16A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</w:t>
      </w:r>
      <w:r w:rsidR="00CB0C3F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Природа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</w:t>
      </w:r>
      <w:r w:rsidR="0079355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3ECF947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Регистрант: </w:t>
      </w:r>
    </w:p>
    <w:p w14:paraId="4524092F" w14:textId="432C3A59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ООО «ПРОЛАЙН»,</w:t>
      </w:r>
      <w:r w:rsidRPr="00674A8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ОГРН 1230200002020</w:t>
      </w:r>
    </w:p>
    <w:p w14:paraId="78FE8978" w14:textId="0B0148B5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453265, Республика Башкортостан, </w:t>
      </w:r>
      <w:proofErr w:type="spellStart"/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г.о</w:t>
      </w:r>
      <w:proofErr w:type="spellEnd"/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 город Салават, г. Салават, ул. Малыгина, д.2, кв.8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p w14:paraId="02D8292A" w14:textId="6B055D5D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</w:t>
      </w:r>
      <w:r w:rsidR="00FE70D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</w:t>
      </w: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</w:p>
    <w:p w14:paraId="39AFD5CC" w14:textId="38DC0FD0" w:rsidR="00674A8D" w:rsidRPr="00674A8D" w:rsidRDefault="00674A8D" w:rsidP="00674A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 xml:space="preserve">Действующего вещества </w:t>
      </w:r>
      <w:r w:rsidRPr="00674A8D">
        <w:rPr>
          <w:rFonts w:ascii="Times New Roman" w:eastAsia="Aptos" w:hAnsi="Times New Roman" w:cs="Times New Roman"/>
          <w:bCs/>
          <w:i/>
          <w:iCs/>
          <w:color w:val="000000"/>
          <w:kern w:val="0"/>
          <w:sz w:val="28"/>
          <w:szCs w:val="28"/>
        </w:rPr>
        <w:t>глифосата кислоты (изопропиламинная соль)</w:t>
      </w:r>
      <w:r w:rsidRPr="00674A8D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:</w:t>
      </w:r>
    </w:p>
    <w:p w14:paraId="24AB625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- Сычуань Лешань Фухуа Тонгда Агрокемикал Технолоджи Ко., Лтд</w:t>
      </w:r>
    </w:p>
    <w:p w14:paraId="5DE98557" w14:textId="16DCB10B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Адре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</w:t>
      </w: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: Цяогоу Таун, Утунцяо Дистрикт, Лешань Сити, Сычуань Провинс, 614800, Китай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027BC0DC" w14:textId="62AD4899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Препарата:</w:t>
      </w:r>
    </w:p>
    <w:p w14:paraId="60A2610E" w14:textId="70BF5596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- Шандонг Биннонг Технолоджи Ко., Лтд</w:t>
      </w:r>
    </w:p>
    <w:p w14:paraId="50724B93" w14:textId="77777777" w:rsid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Адрес: № 518, Юнсинь Роуд, город Бинбэй, Биньчжоу, Чжандун, 256600, Китай.</w:t>
      </w:r>
    </w:p>
    <w:p w14:paraId="6D04D1D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Джангсу Айджин Агрокемикал Ко, Лтд</w:t>
      </w:r>
    </w:p>
    <w:p w14:paraId="6CF1FB51" w14:textId="774347D6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Адрес: № 65, Шуансян Роад, Сюнджоу Сабдистрикт, Лухэ Дистрикт, Нанжинг, 211511, Китай.</w:t>
      </w:r>
    </w:p>
    <w:p w14:paraId="5B7EDC04" w14:textId="6B5D897A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</w:t>
      </w: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Сычуань Лешань Фухуа Тонгда Агрокемикал Технолоджи Ко., Лтд</w:t>
      </w:r>
    </w:p>
    <w:p w14:paraId="2CCB6B35" w14:textId="26AD8F41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Адрес: Цяогоу Таун, Утунцяо Дистрикт, Лешань Сити, Сычуань Провинс, 614800, Китай</w:t>
      </w:r>
      <w:r w:rsidR="00FE70D5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.</w:t>
      </w:r>
    </w:p>
    <w:p w14:paraId="4BCA300D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ООО «Доктор Фармер», ОГРН 1145476097942. </w:t>
      </w:r>
    </w:p>
    <w:p w14:paraId="26A240E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Адрес: 632383, Новосибирская область, район Куйбышевский, город Куйбышев, ул. Садовое кольцо, дом 1.</w:t>
      </w:r>
    </w:p>
    <w:p w14:paraId="39A0EA7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i/>
          <w:iCs/>
          <w:color w:val="000000"/>
          <w:kern w:val="0"/>
          <w:sz w:val="28"/>
          <w:szCs w:val="28"/>
        </w:rPr>
        <w:t>Фасовщик пестицида на территории Российской Федерации:</w:t>
      </w:r>
    </w:p>
    <w:p w14:paraId="6D50679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- ООО «Доктор Фармер», ОГРН 1145476097942. </w:t>
      </w:r>
    </w:p>
    <w:p w14:paraId="40A3162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Адрес: 632383, Новосибирская область, район Куйбышевский, город Куйбышев, ул. Садовое кольцо, дом 1.</w:t>
      </w:r>
    </w:p>
    <w:p w14:paraId="4B967BD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b/>
          <w:bCs/>
          <w:color w:val="000000"/>
          <w:kern w:val="0"/>
          <w:sz w:val="28"/>
          <w:szCs w:val="28"/>
        </w:rPr>
        <w:t>2. Заказчик материалов:</w:t>
      </w:r>
    </w:p>
    <w:p w14:paraId="27D70FB4" w14:textId="77777777" w:rsidR="00CD3971" w:rsidRPr="00674A8D" w:rsidRDefault="00CD3971" w:rsidP="00CD39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 w:bidi="ru-RU"/>
          <w14:ligatures w14:val="none"/>
        </w:rPr>
        <w:t>ООО «ПРОЛАЙН»,</w:t>
      </w:r>
      <w:r w:rsidRPr="00674A8D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ОГРН 1230200002020</w:t>
      </w:r>
    </w:p>
    <w:p w14:paraId="040E78F6" w14:textId="75B3AB1E" w:rsidR="00FE70D5" w:rsidRPr="00CD3971" w:rsidRDefault="00CD3971" w:rsidP="00CD397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 xml:space="preserve">Адрес юридического лица в пределах места нахождения: 453265, Республика Башкортостан, </w:t>
      </w:r>
      <w:proofErr w:type="spellStart"/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г.о</w:t>
      </w:r>
      <w:proofErr w:type="spellEnd"/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 город Салават, г. Салават, ул. Малыгина, д.2, кв.8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.</w:t>
      </w:r>
    </w:p>
    <w:p w14:paraId="7615632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674A8D">
        <w:rPr>
          <w:rFonts w:ascii="Times New Roman" w:eastAsia="Aptos" w:hAnsi="Times New Roman" w:cs="Times New Roman"/>
          <w:b/>
          <w:bCs/>
          <w:color w:val="000000"/>
          <w:sz w:val="28"/>
          <w:szCs w:val="28"/>
          <w:lang w:eastAsia="ru-RU" w:bidi="ru-RU"/>
        </w:rPr>
        <w:t>3. Разработчик материалов:</w:t>
      </w:r>
    </w:p>
    <w:p w14:paraId="271AE124" w14:textId="77777777" w:rsidR="00CB0C3F" w:rsidRDefault="00CB0C3F" w:rsidP="00CB0C3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ООО 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«Природа»</w:t>
      </w:r>
      <w:r w:rsidRPr="00D74AD3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, </w:t>
      </w:r>
      <w:r w:rsidRPr="00F8288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121471, г. Москва, ул. Гродненская, д. 10, </w:t>
      </w:r>
      <w:proofErr w:type="spellStart"/>
      <w:r w:rsidRPr="00F8288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помещ</w:t>
      </w:r>
      <w:proofErr w:type="spellEnd"/>
      <w:r w:rsidRPr="00F8288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1/2.</w:t>
      </w:r>
    </w:p>
    <w:p w14:paraId="294E20FA" w14:textId="77777777" w:rsidR="00D243F5" w:rsidRPr="00001F2C" w:rsidRDefault="00D243F5" w:rsidP="00D243F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</w:t>
      </w:r>
      <w:r w:rsidRPr="00001F2C">
        <w:rPr>
          <w:rFonts w:ascii="Times New Roman" w:hAnsi="Times New Roman"/>
          <w:b/>
          <w:sz w:val="28"/>
        </w:rPr>
        <w:t>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5CCD4E8E" w14:textId="4147607D" w:rsidR="00D243F5" w:rsidRDefault="00D243F5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D243F5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Кэйтали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D243F5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Экстра, ВДГ (687 г/кг глифосата кислоты) д.в. глифосат (изопропиламинная соль), рекомендуется для наземного применения в условиях сельскохозяйственного производства в качестве гербицида па следующих площадях: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9"/>
        <w:gridCol w:w="2743"/>
        <w:gridCol w:w="2127"/>
        <w:gridCol w:w="1806"/>
        <w:gridCol w:w="1270"/>
      </w:tblGrid>
      <w:tr w:rsidR="00D243F5" w:rsidRPr="00D243F5" w14:paraId="2C014AA2" w14:textId="77777777" w:rsidTr="00D243F5">
        <w:trPr>
          <w:trHeight w:val="1339"/>
        </w:trPr>
        <w:tc>
          <w:tcPr>
            <w:tcW w:w="749" w:type="pct"/>
            <w:shd w:val="clear" w:color="auto" w:fill="auto"/>
            <w:vAlign w:val="center"/>
          </w:tcPr>
          <w:p w14:paraId="29C70F03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  <w:t>Норма применения препарата, кг/га</w:t>
            </w:r>
          </w:p>
        </w:tc>
        <w:tc>
          <w:tcPr>
            <w:tcW w:w="1468" w:type="pct"/>
            <w:shd w:val="clear" w:color="auto" w:fill="auto"/>
            <w:vAlign w:val="center"/>
          </w:tcPr>
          <w:p w14:paraId="54979E0F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  <w:t>Культура</w:t>
            </w:r>
          </w:p>
        </w:tc>
        <w:tc>
          <w:tcPr>
            <w:tcW w:w="1138" w:type="pct"/>
            <w:shd w:val="clear" w:color="auto" w:fill="auto"/>
            <w:vAlign w:val="center"/>
          </w:tcPr>
          <w:p w14:paraId="57979996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  <w:t>Вредный объект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6DEBFE29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11824F9A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  <w:t>Срок ожидания (кратность</w:t>
            </w:r>
          </w:p>
          <w:p w14:paraId="4F347F37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  <w:t>обработки)</w:t>
            </w:r>
          </w:p>
        </w:tc>
      </w:tr>
      <w:tr w:rsidR="00D243F5" w:rsidRPr="00D243F5" w14:paraId="401F355A" w14:textId="77777777" w:rsidTr="00D243F5">
        <w:trPr>
          <w:trHeight w:val="1264"/>
        </w:trPr>
        <w:tc>
          <w:tcPr>
            <w:tcW w:w="749" w:type="pct"/>
            <w:shd w:val="clear" w:color="auto" w:fill="auto"/>
            <w:vAlign w:val="center"/>
          </w:tcPr>
          <w:p w14:paraId="4898E0AC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1,0-2,0</w:t>
            </w:r>
          </w:p>
        </w:tc>
        <w:tc>
          <w:tcPr>
            <w:tcW w:w="1468" w:type="pct"/>
            <w:vMerge w:val="restart"/>
            <w:shd w:val="clear" w:color="auto" w:fill="auto"/>
            <w:vAlign w:val="center"/>
          </w:tcPr>
          <w:p w14:paraId="2BF00CB0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Поля, предназначенные под посев яровых зерновых культур</w:t>
            </w:r>
          </w:p>
        </w:tc>
        <w:tc>
          <w:tcPr>
            <w:tcW w:w="1138" w:type="pct"/>
            <w:shd w:val="clear" w:color="auto" w:fill="auto"/>
            <w:vAlign w:val="center"/>
          </w:tcPr>
          <w:p w14:paraId="33238C7D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Однолетние злаковые и двудольные сорные растения</w:t>
            </w:r>
          </w:p>
        </w:tc>
        <w:tc>
          <w:tcPr>
            <w:tcW w:w="966" w:type="pct"/>
            <w:vMerge w:val="restart"/>
            <w:shd w:val="clear" w:color="auto" w:fill="auto"/>
            <w:vAlign w:val="center"/>
          </w:tcPr>
          <w:p w14:paraId="75D15500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Опрыскивание вегетирующих сорняков в конце лета или осенью в послеуборочный период.</w:t>
            </w: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ab/>
              <w:t>Расход</w:t>
            </w:r>
          </w:p>
          <w:p w14:paraId="7AB6C6AD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рабочей жидкости - 100-200 л/га</w:t>
            </w:r>
          </w:p>
        </w:tc>
        <w:tc>
          <w:tcPr>
            <w:tcW w:w="680" w:type="pct"/>
            <w:vMerge w:val="restart"/>
            <w:shd w:val="clear" w:color="auto" w:fill="auto"/>
            <w:vAlign w:val="center"/>
          </w:tcPr>
          <w:p w14:paraId="50F0C76B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-(1)</w:t>
            </w:r>
          </w:p>
        </w:tc>
      </w:tr>
      <w:tr w:rsidR="00D243F5" w:rsidRPr="00D243F5" w14:paraId="15D7CEA6" w14:textId="77777777" w:rsidTr="00D243F5">
        <w:trPr>
          <w:trHeight w:val="1274"/>
        </w:trPr>
        <w:tc>
          <w:tcPr>
            <w:tcW w:w="749" w:type="pct"/>
            <w:shd w:val="clear" w:color="auto" w:fill="auto"/>
            <w:vAlign w:val="center"/>
          </w:tcPr>
          <w:p w14:paraId="084EA39A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2,0-3,0</w:t>
            </w:r>
          </w:p>
        </w:tc>
        <w:tc>
          <w:tcPr>
            <w:tcW w:w="1468" w:type="pct"/>
            <w:vMerge/>
            <w:shd w:val="clear" w:color="auto" w:fill="auto"/>
            <w:vAlign w:val="center"/>
          </w:tcPr>
          <w:p w14:paraId="4BE6FF9F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  <w:tc>
          <w:tcPr>
            <w:tcW w:w="1138" w:type="pct"/>
            <w:shd w:val="clear" w:color="auto" w:fill="auto"/>
            <w:vAlign w:val="center"/>
          </w:tcPr>
          <w:p w14:paraId="77E944D5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Многолетние злаковые и двудольные сорные растения</w:t>
            </w:r>
          </w:p>
        </w:tc>
        <w:tc>
          <w:tcPr>
            <w:tcW w:w="966" w:type="pct"/>
            <w:vMerge/>
            <w:shd w:val="clear" w:color="auto" w:fill="auto"/>
            <w:vAlign w:val="center"/>
          </w:tcPr>
          <w:p w14:paraId="4B02A9EC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  <w:tc>
          <w:tcPr>
            <w:tcW w:w="680" w:type="pct"/>
            <w:vMerge/>
            <w:shd w:val="clear" w:color="auto" w:fill="auto"/>
            <w:vAlign w:val="center"/>
          </w:tcPr>
          <w:p w14:paraId="403D9707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</w:tr>
      <w:tr w:rsidR="00D243F5" w:rsidRPr="00D243F5" w14:paraId="0226D7D7" w14:textId="77777777" w:rsidTr="00D243F5">
        <w:trPr>
          <w:trHeight w:val="2383"/>
        </w:trPr>
        <w:tc>
          <w:tcPr>
            <w:tcW w:w="749" w:type="pct"/>
            <w:shd w:val="clear" w:color="auto" w:fill="auto"/>
            <w:vAlign w:val="center"/>
          </w:tcPr>
          <w:p w14:paraId="131F6763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lastRenderedPageBreak/>
              <w:t>3,0-3,5</w:t>
            </w:r>
          </w:p>
        </w:tc>
        <w:tc>
          <w:tcPr>
            <w:tcW w:w="1468" w:type="pct"/>
            <w:vMerge/>
            <w:shd w:val="clear" w:color="auto" w:fill="auto"/>
            <w:vAlign w:val="center"/>
          </w:tcPr>
          <w:p w14:paraId="36CDF378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  <w:tc>
          <w:tcPr>
            <w:tcW w:w="1138" w:type="pct"/>
            <w:shd w:val="clear" w:color="auto" w:fill="auto"/>
            <w:vAlign w:val="center"/>
          </w:tcPr>
          <w:p w14:paraId="16020668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Злостные многолетние сорняки (свинорой, вьюнок полевой, бодяк полевой и корнеотпрысковые)</w:t>
            </w:r>
          </w:p>
        </w:tc>
        <w:tc>
          <w:tcPr>
            <w:tcW w:w="966" w:type="pct"/>
            <w:shd w:val="clear" w:color="auto" w:fill="auto"/>
            <w:vAlign w:val="center"/>
          </w:tcPr>
          <w:p w14:paraId="66BC8604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Опрыскивание вегетирующих сорняков в конце лета или осенью в послеуборочный период.</w:t>
            </w: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ab/>
              <w:t>Расход</w:t>
            </w:r>
          </w:p>
          <w:p w14:paraId="696E372B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рабочей жидкости - 100-200 л/га</w:t>
            </w:r>
          </w:p>
        </w:tc>
        <w:tc>
          <w:tcPr>
            <w:tcW w:w="680" w:type="pct"/>
            <w:vMerge/>
            <w:shd w:val="clear" w:color="auto" w:fill="auto"/>
            <w:vAlign w:val="center"/>
          </w:tcPr>
          <w:p w14:paraId="44476628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</w:tr>
      <w:tr w:rsidR="00D243F5" w:rsidRPr="00D243F5" w14:paraId="0F24F12C" w14:textId="77777777" w:rsidTr="00D243F5">
        <w:trPr>
          <w:trHeight w:val="1274"/>
        </w:trPr>
        <w:tc>
          <w:tcPr>
            <w:tcW w:w="749" w:type="pct"/>
            <w:shd w:val="clear" w:color="auto" w:fill="auto"/>
            <w:vAlign w:val="center"/>
          </w:tcPr>
          <w:p w14:paraId="2732F546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1,0-2,0</w:t>
            </w:r>
          </w:p>
        </w:tc>
        <w:tc>
          <w:tcPr>
            <w:tcW w:w="1468" w:type="pct"/>
            <w:vMerge w:val="restart"/>
            <w:shd w:val="clear" w:color="auto" w:fill="auto"/>
            <w:vAlign w:val="center"/>
          </w:tcPr>
          <w:p w14:paraId="68F851AD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Пары</w:t>
            </w:r>
          </w:p>
        </w:tc>
        <w:tc>
          <w:tcPr>
            <w:tcW w:w="1138" w:type="pct"/>
            <w:shd w:val="clear" w:color="auto" w:fill="auto"/>
            <w:vAlign w:val="center"/>
          </w:tcPr>
          <w:p w14:paraId="19624320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Однолетние злаковые и двудольные сорные растения</w:t>
            </w:r>
          </w:p>
        </w:tc>
        <w:tc>
          <w:tcPr>
            <w:tcW w:w="966" w:type="pct"/>
            <w:vMerge w:val="restart"/>
            <w:shd w:val="clear" w:color="auto" w:fill="auto"/>
            <w:vAlign w:val="center"/>
          </w:tcPr>
          <w:p w14:paraId="69B5DDF7" w14:textId="4502A1F8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Опрыскивание вегетирующих сорных растений в период</w:t>
            </w:r>
            <w:r w:rsidR="000755A9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</w:t>
            </w: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их</w:t>
            </w:r>
          </w:p>
          <w:p w14:paraId="0111478B" w14:textId="276AA61E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активного роста. Расход</w:t>
            </w:r>
            <w:r w:rsidR="000755A9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</w:t>
            </w: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рабочей</w:t>
            </w:r>
          </w:p>
          <w:p w14:paraId="0EF247D0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жидкости - 100-200 л/га</w:t>
            </w:r>
          </w:p>
        </w:tc>
        <w:tc>
          <w:tcPr>
            <w:tcW w:w="680" w:type="pct"/>
            <w:vMerge/>
            <w:shd w:val="clear" w:color="auto" w:fill="auto"/>
            <w:vAlign w:val="center"/>
          </w:tcPr>
          <w:p w14:paraId="7FB99F65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</w:tr>
      <w:tr w:rsidR="00D243F5" w:rsidRPr="00D243F5" w14:paraId="0D16A450" w14:textId="77777777" w:rsidTr="00D243F5">
        <w:trPr>
          <w:trHeight w:val="1274"/>
        </w:trPr>
        <w:tc>
          <w:tcPr>
            <w:tcW w:w="749" w:type="pct"/>
            <w:shd w:val="clear" w:color="auto" w:fill="auto"/>
            <w:vAlign w:val="center"/>
          </w:tcPr>
          <w:p w14:paraId="1744F071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2,0-3,0</w:t>
            </w:r>
          </w:p>
        </w:tc>
        <w:tc>
          <w:tcPr>
            <w:tcW w:w="1468" w:type="pct"/>
            <w:vMerge/>
            <w:shd w:val="clear" w:color="auto" w:fill="auto"/>
            <w:vAlign w:val="center"/>
          </w:tcPr>
          <w:p w14:paraId="4AC8CF28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  <w:tc>
          <w:tcPr>
            <w:tcW w:w="1138" w:type="pct"/>
            <w:shd w:val="clear" w:color="auto" w:fill="auto"/>
            <w:vAlign w:val="center"/>
          </w:tcPr>
          <w:p w14:paraId="14BFFC8A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Многолетние злаковые и двудольные сорные растения</w:t>
            </w:r>
          </w:p>
        </w:tc>
        <w:tc>
          <w:tcPr>
            <w:tcW w:w="966" w:type="pct"/>
            <w:vMerge/>
            <w:shd w:val="clear" w:color="auto" w:fill="auto"/>
            <w:vAlign w:val="center"/>
          </w:tcPr>
          <w:p w14:paraId="2447E6CB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  <w:tc>
          <w:tcPr>
            <w:tcW w:w="680" w:type="pct"/>
            <w:vMerge/>
            <w:shd w:val="clear" w:color="auto" w:fill="auto"/>
            <w:vAlign w:val="center"/>
          </w:tcPr>
          <w:p w14:paraId="756DB71C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</w:tr>
      <w:tr w:rsidR="00D243F5" w:rsidRPr="00D243F5" w14:paraId="7ECC9364" w14:textId="77777777" w:rsidTr="00D243F5">
        <w:trPr>
          <w:trHeight w:val="1829"/>
        </w:trPr>
        <w:tc>
          <w:tcPr>
            <w:tcW w:w="749" w:type="pct"/>
            <w:shd w:val="clear" w:color="auto" w:fill="auto"/>
            <w:vAlign w:val="center"/>
          </w:tcPr>
          <w:p w14:paraId="38AA3D59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3,0-3,5</w:t>
            </w:r>
          </w:p>
        </w:tc>
        <w:tc>
          <w:tcPr>
            <w:tcW w:w="1468" w:type="pct"/>
            <w:vMerge/>
            <w:shd w:val="clear" w:color="auto" w:fill="auto"/>
            <w:vAlign w:val="center"/>
          </w:tcPr>
          <w:p w14:paraId="76004038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  <w:tc>
          <w:tcPr>
            <w:tcW w:w="1138" w:type="pct"/>
            <w:shd w:val="clear" w:color="auto" w:fill="auto"/>
            <w:vAlign w:val="center"/>
          </w:tcPr>
          <w:p w14:paraId="02AC89BA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Злостные</w:t>
            </w:r>
          </w:p>
          <w:p w14:paraId="302C4EE8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многолетние сорные растения (свинорой, вьюнок полевой, бодяк полевой и корнеотпрысковые)</w:t>
            </w:r>
          </w:p>
        </w:tc>
        <w:tc>
          <w:tcPr>
            <w:tcW w:w="966" w:type="pct"/>
            <w:vMerge/>
            <w:shd w:val="clear" w:color="auto" w:fill="auto"/>
            <w:vAlign w:val="center"/>
          </w:tcPr>
          <w:p w14:paraId="2EDBE5D0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  <w:tc>
          <w:tcPr>
            <w:tcW w:w="680" w:type="pct"/>
            <w:vMerge/>
            <w:shd w:val="clear" w:color="auto" w:fill="auto"/>
            <w:vAlign w:val="center"/>
          </w:tcPr>
          <w:p w14:paraId="450C2AA3" w14:textId="77777777" w:rsidR="00D243F5" w:rsidRPr="00D243F5" w:rsidRDefault="00D243F5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</w:tr>
      <w:tr w:rsidR="00C76114" w:rsidRPr="00D243F5" w14:paraId="1C30A107" w14:textId="77777777" w:rsidTr="008749C2">
        <w:trPr>
          <w:trHeight w:val="5072"/>
        </w:trPr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F5DEA" w14:textId="77777777" w:rsidR="00C76114" w:rsidRPr="00D243F5" w:rsidRDefault="00C76114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1,5-3,0</w:t>
            </w:r>
          </w:p>
        </w:tc>
        <w:tc>
          <w:tcPr>
            <w:tcW w:w="1468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E8FDD" w14:textId="77777777" w:rsidR="00C76114" w:rsidRPr="00D243F5" w:rsidRDefault="00C76114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Земли несельскохозяйственного назначения (охранные зоны линий электропередач и просеки, трассы газо- и нефтепроводов, насыпи и полосы отчуждения железных и шоссейных</w:t>
            </w:r>
          </w:p>
          <w:p w14:paraId="5F0293C7" w14:textId="01D1E429" w:rsidR="00C76114" w:rsidRPr="00D243F5" w:rsidRDefault="00C76114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дорог, аэродромы и промышленные территории)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713E5" w14:textId="77777777" w:rsidR="00C76114" w:rsidRPr="00D243F5" w:rsidRDefault="00C76114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Все виды нежелательных травянистых растений (за исключением относительно устойчивых </w:t>
            </w:r>
            <w:proofErr w:type="spellStart"/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вейника</w:t>
            </w:r>
            <w:proofErr w:type="spellEnd"/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, тростника),</w:t>
            </w:r>
          </w:p>
          <w:p w14:paraId="00EC14DC" w14:textId="5D3E458E" w:rsidR="00C76114" w:rsidRPr="00D243F5" w:rsidRDefault="00C76114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лиственные древесно</w:t>
            </w:r>
            <w:r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-</w:t>
            </w: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кустарниковые породы (осина, береза, ольха)</w:t>
            </w:r>
          </w:p>
        </w:tc>
        <w:tc>
          <w:tcPr>
            <w:tcW w:w="96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ACA43" w14:textId="0CCAB298" w:rsidR="00C76114" w:rsidRPr="00D243F5" w:rsidRDefault="00C76114" w:rsidP="000755A9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Опрыскивание вегетирующей нежелательной растительности.</w:t>
            </w:r>
            <w:r w:rsidR="000755A9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</w:t>
            </w: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Срок возможного пребывания людей на обработанных территориях</w:t>
            </w:r>
            <w:r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</w:t>
            </w: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не</w:t>
            </w:r>
          </w:p>
          <w:p w14:paraId="3201300F" w14:textId="1F1E45F5" w:rsidR="00C76114" w:rsidRPr="00D243F5" w:rsidRDefault="00C76114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ранее 15 дней после обработки. </w:t>
            </w: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lastRenderedPageBreak/>
              <w:t>Сбор дикорастущих грибов и ягод в сезон обработок не допускается. Расход рабочей жидкости - 100-200 л/га</w:t>
            </w:r>
          </w:p>
        </w:tc>
        <w:tc>
          <w:tcPr>
            <w:tcW w:w="68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D6B77" w14:textId="77777777" w:rsidR="00C76114" w:rsidRPr="00D243F5" w:rsidRDefault="00C76114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</w:tr>
      <w:tr w:rsidR="00C76114" w:rsidRPr="00D243F5" w14:paraId="5723EF12" w14:textId="77777777" w:rsidTr="00D243F5">
        <w:trPr>
          <w:trHeight w:val="2531"/>
        </w:trPr>
        <w:tc>
          <w:tcPr>
            <w:tcW w:w="749" w:type="pct"/>
            <w:shd w:val="clear" w:color="auto" w:fill="auto"/>
            <w:vAlign w:val="center"/>
          </w:tcPr>
          <w:p w14:paraId="358F1708" w14:textId="77777777" w:rsidR="00C76114" w:rsidRPr="00D243F5" w:rsidRDefault="00C76114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lastRenderedPageBreak/>
              <w:t>3,0-4,0</w:t>
            </w:r>
          </w:p>
        </w:tc>
        <w:tc>
          <w:tcPr>
            <w:tcW w:w="1468" w:type="pct"/>
            <w:vMerge/>
            <w:shd w:val="clear" w:color="auto" w:fill="auto"/>
            <w:vAlign w:val="center"/>
          </w:tcPr>
          <w:p w14:paraId="4D736A11" w14:textId="77777777" w:rsidR="00C76114" w:rsidRPr="00D243F5" w:rsidRDefault="00C76114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  <w:tc>
          <w:tcPr>
            <w:tcW w:w="1138" w:type="pct"/>
            <w:shd w:val="clear" w:color="auto" w:fill="auto"/>
            <w:vAlign w:val="center"/>
          </w:tcPr>
          <w:p w14:paraId="5FB8F80C" w14:textId="2E2ADDA7" w:rsidR="00C76114" w:rsidRPr="00D243F5" w:rsidRDefault="00C76114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Относительно устойчивые нежелательные травянистые растения (</w:t>
            </w:r>
            <w:proofErr w:type="spellStart"/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вейник</w:t>
            </w:r>
            <w:proofErr w:type="spellEnd"/>
            <w:r w:rsidRPr="00D243F5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, тростник), лиственные древесно-кустарниковые породы (ива, клен, ясень, вяз, акация)</w:t>
            </w:r>
          </w:p>
        </w:tc>
        <w:tc>
          <w:tcPr>
            <w:tcW w:w="966" w:type="pct"/>
            <w:vMerge/>
            <w:shd w:val="clear" w:color="auto" w:fill="auto"/>
            <w:vAlign w:val="center"/>
          </w:tcPr>
          <w:p w14:paraId="5610D773" w14:textId="77777777" w:rsidR="00C76114" w:rsidRPr="00D243F5" w:rsidRDefault="00C76114" w:rsidP="00D243F5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  <w:tc>
          <w:tcPr>
            <w:tcW w:w="680" w:type="pct"/>
            <w:vMerge/>
            <w:shd w:val="clear" w:color="auto" w:fill="auto"/>
            <w:vAlign w:val="center"/>
          </w:tcPr>
          <w:p w14:paraId="5F26309D" w14:textId="77777777" w:rsidR="00C76114" w:rsidRPr="00D243F5" w:rsidRDefault="00C76114" w:rsidP="00D24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7921E56E" w14:textId="77777777" w:rsidR="0083069C" w:rsidRPr="0016108E" w:rsidRDefault="0083069C" w:rsidP="0083069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  <w:r w:rsidRPr="0016108E">
        <w:rPr>
          <w:rFonts w:ascii="Times New Roman" w:eastAsia="Aptos" w:hAnsi="Times New Roman" w:cs="Times New Roman"/>
          <w:sz w:val="28"/>
          <w:szCs w:val="28"/>
          <w:lang w:eastAsia="ru-RU" w:bidi="ru-RU"/>
        </w:rPr>
        <w:t>Препарат представлен для решения вопроса о регистрации</w:t>
      </w:r>
      <w:r>
        <w:rPr>
          <w:rFonts w:ascii="Times New Roman" w:eastAsia="Aptos" w:hAnsi="Times New Roman" w:cs="Times New Roman"/>
          <w:sz w:val="28"/>
          <w:szCs w:val="28"/>
          <w:lang w:eastAsia="ru-RU" w:bidi="ru-RU"/>
        </w:rPr>
        <w:t>, фасовке и введении дополнительного завода производителя препарата</w:t>
      </w:r>
      <w:r w:rsidRPr="0016108E">
        <w:rPr>
          <w:rFonts w:ascii="Times New Roman" w:eastAsia="Aptos" w:hAnsi="Times New Roman" w:cs="Times New Roman"/>
          <w:sz w:val="28"/>
          <w:szCs w:val="28"/>
          <w:lang w:eastAsia="ru-RU" w:bidi="ru-RU"/>
        </w:rPr>
        <w:t xml:space="preserve"> в России впервые.</w:t>
      </w:r>
    </w:p>
    <w:p w14:paraId="293DC4E8" w14:textId="77777777" w:rsidR="00D243F5" w:rsidRPr="00674A8D" w:rsidRDefault="00D243F5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26144074" w14:textId="77777777" w:rsidR="00674A8D" w:rsidRPr="00674A8D" w:rsidRDefault="00674A8D" w:rsidP="00674A8D">
      <w:pPr>
        <w:spacing w:line="256" w:lineRule="auto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  <w14:ligatures w14:val="none"/>
        </w:rPr>
        <w:br w:type="page"/>
      </w:r>
    </w:p>
    <w:p w14:paraId="71F95C6F" w14:textId="77777777" w:rsidR="00674A8D" w:rsidRPr="00674A8D" w:rsidRDefault="00674A8D" w:rsidP="00674A8D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5" w:name="_Toc180068296"/>
      <w:r w:rsidRPr="00674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45"/>
    </w:p>
    <w:p w14:paraId="065BF44E" w14:textId="77777777" w:rsidR="00674A8D" w:rsidRPr="00674A8D" w:rsidRDefault="00674A8D" w:rsidP="00674A8D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6" w:name="_Toc176526229"/>
      <w:bookmarkStart w:id="47" w:name="_Toc180068297"/>
      <w:r w:rsidRPr="00674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Объекты, на которых намечено применение пестицида</w:t>
      </w:r>
      <w:bookmarkEnd w:id="46"/>
      <w:bookmarkEnd w:id="47"/>
      <w:r w:rsidRPr="00674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0B8100F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004CBA03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88BF29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8" w:name="_Toc176526230"/>
      <w:bookmarkStart w:id="49" w:name="_Toc180068298"/>
      <w:r w:rsidRPr="00674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2.2. </w:t>
      </w:r>
      <w:bookmarkEnd w:id="48"/>
      <w:r w:rsidRPr="00674A8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49"/>
    </w:p>
    <w:p w14:paraId="0B1A58F9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Пестицид рекомендуется к регистрации на всей территории Российской Федерации.</w:t>
      </w:r>
    </w:p>
    <w:p w14:paraId="0CD3F879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Приведем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3AEFDF7A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Тайга</w:t>
      </w: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1F5D2D16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549761E8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4E93F4F8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1D29B952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</w:t>
      </w:r>
      <w:proofErr w:type="spellStart"/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содоминирующее</w:t>
      </w:r>
      <w:proofErr w:type="spellEnd"/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положение среди наземных экосистем. Доля открытых или </w:t>
      </w: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64B72F7E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Зона смешанных и широколиственных лесов</w:t>
      </w: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14:paraId="62A5D129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0E55EA50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110ABF6E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645E938F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тайги, смешанных и широколиственных лесов</w:t>
      </w:r>
    </w:p>
    <w:p w14:paraId="1B4FC26C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5DE26B2B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Факторы и условия, при которых формируются таежно-лесные почвы:</w:t>
      </w:r>
    </w:p>
    <w:p w14:paraId="52364AD4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07E18AAD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7291B249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почв таежно-лесной зоны можно назвать:</w:t>
      </w:r>
    </w:p>
    <w:p w14:paraId="5A719780" w14:textId="77777777" w:rsidR="00674A8D" w:rsidRPr="00674A8D" w:rsidRDefault="00674A8D" w:rsidP="00FE70D5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Малое содержание полезных элементов (в особенности кальция и азота)</w:t>
      </w:r>
    </w:p>
    <w:p w14:paraId="52CDE270" w14:textId="77777777" w:rsidR="00674A8D" w:rsidRPr="00674A8D" w:rsidRDefault="00674A8D" w:rsidP="00FE70D5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Слабо- или среднемощный слой гумуса</w:t>
      </w:r>
    </w:p>
    <w:p w14:paraId="3F74D3D4" w14:textId="77777777" w:rsidR="00674A8D" w:rsidRPr="00674A8D" w:rsidRDefault="00674A8D" w:rsidP="00FE70D5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Промерзание</w:t>
      </w:r>
    </w:p>
    <w:p w14:paraId="7FEF507E" w14:textId="77777777" w:rsidR="00674A8D" w:rsidRPr="00674A8D" w:rsidRDefault="00674A8D" w:rsidP="00FE70D5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Заболоченность</w:t>
      </w:r>
    </w:p>
    <w:p w14:paraId="1AEFE1DE" w14:textId="77777777" w:rsidR="00674A8D" w:rsidRPr="00674A8D" w:rsidRDefault="00674A8D" w:rsidP="00FE70D5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Обычно кислую реакцию</w:t>
      </w:r>
    </w:p>
    <w:p w14:paraId="7FB8D14B" w14:textId="77777777" w:rsidR="00674A8D" w:rsidRPr="00674A8D" w:rsidRDefault="00674A8D" w:rsidP="00FE70D5">
      <w:pPr>
        <w:numPr>
          <w:ilvl w:val="0"/>
          <w:numId w:val="4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Наличие сразу нескольких почвообразовательных процессов (подзолистого, дернового, </w:t>
      </w:r>
      <w:proofErr w:type="spellStart"/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торфообразовательного</w:t>
      </w:r>
      <w:proofErr w:type="spellEnd"/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, глеевого)</w:t>
      </w:r>
    </w:p>
    <w:p w14:paraId="70422DAB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35DEEA0A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Таежно-лесная природная зона представлена следующими почвенными покровами:</w:t>
      </w:r>
    </w:p>
    <w:p w14:paraId="43C55148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Подзолистыми</w:t>
      </w:r>
    </w:p>
    <w:p w14:paraId="03CC1439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Дерновыми</w:t>
      </w:r>
    </w:p>
    <w:p w14:paraId="473072BF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</w:t>
      </w:r>
    </w:p>
    <w:p w14:paraId="28AEF164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Дерново-подзолистыми</w:t>
      </w:r>
    </w:p>
    <w:p w14:paraId="5A6F414C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Подзолисто-глеевыми (глееподзолистыми)</w:t>
      </w:r>
    </w:p>
    <w:p w14:paraId="7928F4BF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Болотно-торфяными</w:t>
      </w:r>
    </w:p>
    <w:p w14:paraId="3342320F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Болотными торфяно-глеевыми</w:t>
      </w:r>
    </w:p>
    <w:p w14:paraId="0D8727DE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Дерново-глеевыми</w:t>
      </w:r>
    </w:p>
    <w:p w14:paraId="15112EE4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Дерново-карбонатными</w:t>
      </w:r>
    </w:p>
    <w:p w14:paraId="4F409FFE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Болотно-подзолистыми</w:t>
      </w:r>
    </w:p>
    <w:p w14:paraId="7D46B1D4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Мерзлотно-таежными</w:t>
      </w:r>
    </w:p>
    <w:p w14:paraId="1C211B10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Мерзлыми подзолистыми</w:t>
      </w:r>
    </w:p>
    <w:p w14:paraId="3D17F0D5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5A7EE1CF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основном почвы тайги и лесов сейчас используют в качестве:</w:t>
      </w:r>
    </w:p>
    <w:p w14:paraId="50A9B883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Охотничьих угодий</w:t>
      </w:r>
    </w:p>
    <w:p w14:paraId="1A184C2A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Пастбищ и кормовых угодий для оленей</w:t>
      </w:r>
    </w:p>
    <w:p w14:paraId="312EA12E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Сенокосов</w:t>
      </w:r>
    </w:p>
    <w:p w14:paraId="64EA24D8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05946916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299012B6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172A9FEB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Зона дерново-подзолистых почв</w:t>
      </w:r>
    </w:p>
    <w:p w14:paraId="5945BF01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</w:t>
      </w:r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 xml:space="preserve">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</w:t>
      </w:r>
      <w:proofErr w:type="spellStart"/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слабогумусные</w:t>
      </w:r>
      <w:proofErr w:type="spellEnd"/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(1-2 %), </w:t>
      </w:r>
      <w:proofErr w:type="spellStart"/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среднегумусные</w:t>
      </w:r>
      <w:proofErr w:type="spellEnd"/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(2-4 %) и </w:t>
      </w:r>
      <w:proofErr w:type="spellStart"/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сильногумусные</w:t>
      </w:r>
      <w:proofErr w:type="spellEnd"/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63BD71E3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Лесостепная и степная зоны</w:t>
      </w: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</w:p>
    <w:p w14:paraId="75C6FA36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6D79E745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Характерной чертой этой территории являются степные блюдца – впадины округлой формы.</w:t>
      </w:r>
    </w:p>
    <w:p w14:paraId="78AA336E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Почвы лесостепи и степи</w:t>
      </w:r>
    </w:p>
    <w:p w14:paraId="3483FC6C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46777FA5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7168B08F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584A5310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3661630E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5121EC8C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Среди особенностей этих почв выделяют:</w:t>
      </w:r>
    </w:p>
    <w:p w14:paraId="1D7C963F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Высокую степень плодородия за счет большого насыщения гумусом</w:t>
      </w:r>
    </w:p>
    <w:p w14:paraId="4F9CAB21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Мощный гумусовый горизонт, который может достигать 1 м</w:t>
      </w:r>
    </w:p>
    <w:p w14:paraId="485DEC53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Слабую минерализацию растительных останков</w:t>
      </w:r>
    </w:p>
    <w:p w14:paraId="5640161A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Высокое содержание перегноя</w:t>
      </w:r>
    </w:p>
    <w:p w14:paraId="739CB723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Рыхлую структуру благодаря травянистой растительности и пронизывающим почву корням</w:t>
      </w:r>
    </w:p>
    <w:p w14:paraId="5E2AB5CB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К почвам лесостепной, степной и сухой зон относятся следующие типы и подтипы:</w:t>
      </w:r>
    </w:p>
    <w:p w14:paraId="278D2528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Бурые лесные (буроземы) и бурые лесные глеевые</w:t>
      </w:r>
    </w:p>
    <w:p w14:paraId="6CD74566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Подзолисто-бурые лесные (в том числе глеевые)</w:t>
      </w:r>
    </w:p>
    <w:p w14:paraId="198E3A0A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Серые лесные (светлые и темные; глеевые)</w:t>
      </w:r>
    </w:p>
    <w:p w14:paraId="00555F56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Черноземы (типичные, оподзоленные, выщелоченные)</w:t>
      </w:r>
    </w:p>
    <w:p w14:paraId="66372794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Сероземы</w:t>
      </w:r>
    </w:p>
    <w:p w14:paraId="6CF64197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Каштановые (светлые и темные)</w:t>
      </w:r>
    </w:p>
    <w:p w14:paraId="3E3F2A80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</w:t>
      </w:r>
    </w:p>
    <w:p w14:paraId="184E5907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Лугово-черноземные</w:t>
      </w:r>
    </w:p>
    <w:p w14:paraId="10BA23EF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Лугово-болотные</w:t>
      </w:r>
    </w:p>
    <w:p w14:paraId="500138C0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Лугово-каштановые</w:t>
      </w:r>
    </w:p>
    <w:p w14:paraId="59EB0F0A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Луговые подбелы (лугово-бурые)</w:t>
      </w:r>
    </w:p>
    <w:p w14:paraId="29ACE50D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Коричневые</w:t>
      </w:r>
    </w:p>
    <w:p w14:paraId="68DBE535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Лугово-коричневые</w:t>
      </w:r>
    </w:p>
    <w:p w14:paraId="56F51904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Лугово-лесные серые</w:t>
      </w:r>
    </w:p>
    <w:p w14:paraId="13CD8479" w14:textId="77777777" w:rsidR="00674A8D" w:rsidRPr="00674A8D" w:rsidRDefault="00674A8D" w:rsidP="00FE70D5">
      <w:pPr>
        <w:numPr>
          <w:ilvl w:val="0"/>
          <w:numId w:val="6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/>
          <w:sz w:val="28"/>
          <w:szCs w:val="28"/>
          <w:lang w:eastAsia="ru-RU" w:bidi="ru-RU"/>
        </w:rPr>
        <w:t>Лугово-серо-коричневые</w:t>
      </w:r>
    </w:p>
    <w:p w14:paraId="4E5FDD83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Зона каштановых почв сухостепной области</w:t>
      </w:r>
    </w:p>
    <w:p w14:paraId="4EC1D656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-25° и июля от +20 до +25° С.  Сумма температур выше 10° С равняется 3300-3500 в 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7D4882B8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bCs/>
          <w:i/>
          <w:sz w:val="28"/>
          <w:szCs w:val="28"/>
          <w:lang w:eastAsia="ru-RU" w:bidi="ru-RU"/>
        </w:rPr>
        <w:t>Зона черноземов лесостепной и степной областей</w:t>
      </w:r>
    </w:p>
    <w:p w14:paraId="61CBD91C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</w:t>
      </w:r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 xml:space="preserve">скорость их разложения отстает от поступления, что ведет к накоплению в почвах гумуса </w:t>
      </w:r>
      <w:proofErr w:type="spellStart"/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гуматного</w:t>
      </w:r>
      <w:proofErr w:type="spellEnd"/>
      <w:r w:rsidRPr="00674A8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типа.</w:t>
      </w:r>
    </w:p>
    <w:p w14:paraId="6454E235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2776FFB2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1B3C0D7C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69DDFBE7" w14:textId="77777777" w:rsid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2962E10A" w14:textId="77777777" w:rsidR="00391AF6" w:rsidRPr="00674A8D" w:rsidRDefault="00391AF6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15AD0E" w14:textId="77777777" w:rsidR="00674A8D" w:rsidRPr="00674A8D" w:rsidRDefault="00674A8D" w:rsidP="00674A8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0" w:name="_Toc176526231"/>
      <w:bookmarkStart w:id="51" w:name="_Toc180068299"/>
      <w:r w:rsidRPr="00674A8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2.3. Периоды и режимы воздействия пестицида на территории объектов применения</w:t>
      </w:r>
      <w:bookmarkEnd w:id="50"/>
      <w:bookmarkEnd w:id="51"/>
      <w:r w:rsidRPr="00674A8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2551"/>
        <w:gridCol w:w="2416"/>
        <w:gridCol w:w="1978"/>
        <w:gridCol w:w="1412"/>
      </w:tblGrid>
      <w:tr w:rsidR="00600698" w:rsidRPr="00FE70D5" w14:paraId="4F2913B2" w14:textId="77777777" w:rsidTr="00600698">
        <w:trPr>
          <w:trHeight w:val="20"/>
          <w:jc w:val="center"/>
        </w:trPr>
        <w:tc>
          <w:tcPr>
            <w:tcW w:w="988" w:type="dxa"/>
            <w:vAlign w:val="center"/>
          </w:tcPr>
          <w:p w14:paraId="60FEEBF7" w14:textId="73A9B9D4" w:rsidR="00FE70D5" w:rsidRPr="00FE70D5" w:rsidRDefault="00FE70D5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52" w:name="_Hlk179991146"/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кг/га</w:t>
            </w:r>
          </w:p>
        </w:tc>
        <w:tc>
          <w:tcPr>
            <w:tcW w:w="2551" w:type="dxa"/>
            <w:vAlign w:val="center"/>
          </w:tcPr>
          <w:p w14:paraId="2EAF5991" w14:textId="77777777" w:rsidR="00FE70D5" w:rsidRPr="00FE70D5" w:rsidRDefault="00FE70D5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2416" w:type="dxa"/>
            <w:vAlign w:val="center"/>
          </w:tcPr>
          <w:p w14:paraId="180BECAA" w14:textId="77777777" w:rsidR="00FE70D5" w:rsidRPr="00FE70D5" w:rsidRDefault="00FE70D5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978" w:type="dxa"/>
            <w:vAlign w:val="center"/>
          </w:tcPr>
          <w:p w14:paraId="1C82F932" w14:textId="448AC6CC" w:rsidR="00FE70D5" w:rsidRPr="00FE70D5" w:rsidRDefault="00FE70D5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1412" w:type="dxa"/>
            <w:vAlign w:val="center"/>
          </w:tcPr>
          <w:p w14:paraId="679EB8EC" w14:textId="3372204F" w:rsidR="00FE70D5" w:rsidRPr="00FE70D5" w:rsidRDefault="00600698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(м</w:t>
            </w:r>
            <w:r w:rsidR="00FE70D5"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аксимальная кратность обработок в течение сезона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0A6533" w:rsidRPr="00FE70D5" w14:paraId="7743C9BF" w14:textId="77777777" w:rsidTr="00600698">
        <w:trPr>
          <w:trHeight w:val="20"/>
          <w:jc w:val="center"/>
        </w:trPr>
        <w:tc>
          <w:tcPr>
            <w:tcW w:w="988" w:type="dxa"/>
            <w:vAlign w:val="center"/>
          </w:tcPr>
          <w:p w14:paraId="479A6895" w14:textId="028C512C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1,0-2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2551" w:type="dxa"/>
            <w:vMerge w:val="restart"/>
            <w:vAlign w:val="center"/>
          </w:tcPr>
          <w:p w14:paraId="09AAF67F" w14:textId="0FF7381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Поля, предназначенные под посев яровых зерновых культур</w:t>
            </w:r>
          </w:p>
        </w:tc>
        <w:tc>
          <w:tcPr>
            <w:tcW w:w="2416" w:type="dxa"/>
            <w:vAlign w:val="center"/>
          </w:tcPr>
          <w:p w14:paraId="7EBF1BDB" w14:textId="086371DA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сорные растения</w:t>
            </w:r>
          </w:p>
        </w:tc>
        <w:tc>
          <w:tcPr>
            <w:tcW w:w="1978" w:type="dxa"/>
            <w:vMerge w:val="restart"/>
            <w:vAlign w:val="center"/>
          </w:tcPr>
          <w:p w14:paraId="298860E0" w14:textId="77777777" w:rsidR="000A6533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вегетирующих сорняков в конце лета или осенью в послеуборочный период. </w:t>
            </w:r>
          </w:p>
          <w:p w14:paraId="049CA9D5" w14:textId="6774F38B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100-200 л/га</w:t>
            </w:r>
          </w:p>
        </w:tc>
        <w:tc>
          <w:tcPr>
            <w:tcW w:w="1412" w:type="dxa"/>
            <w:vMerge w:val="restart"/>
            <w:vAlign w:val="center"/>
          </w:tcPr>
          <w:p w14:paraId="092BFADE" w14:textId="08E9564E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-(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0A6533" w:rsidRPr="00FE70D5" w14:paraId="15985BB2" w14:textId="77777777" w:rsidTr="00600698">
        <w:trPr>
          <w:trHeight w:val="20"/>
          <w:jc w:val="center"/>
        </w:trPr>
        <w:tc>
          <w:tcPr>
            <w:tcW w:w="988" w:type="dxa"/>
            <w:vAlign w:val="center"/>
          </w:tcPr>
          <w:p w14:paraId="4CC7CE9F" w14:textId="29EFD214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2,0-3,0</w:t>
            </w:r>
          </w:p>
        </w:tc>
        <w:tc>
          <w:tcPr>
            <w:tcW w:w="2551" w:type="dxa"/>
            <w:vMerge/>
            <w:vAlign w:val="center"/>
          </w:tcPr>
          <w:p w14:paraId="284E7D29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662447BD" w14:textId="30B4E5CC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Многолетние злаковые и двудольные сорные растения</w:t>
            </w:r>
          </w:p>
        </w:tc>
        <w:tc>
          <w:tcPr>
            <w:tcW w:w="1978" w:type="dxa"/>
            <w:vMerge/>
            <w:vAlign w:val="center"/>
          </w:tcPr>
          <w:p w14:paraId="18E10032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0AD12C2C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A6533" w:rsidRPr="00FE70D5" w14:paraId="531BA333" w14:textId="77777777" w:rsidTr="00600698">
        <w:trPr>
          <w:trHeight w:val="20"/>
          <w:jc w:val="center"/>
        </w:trPr>
        <w:tc>
          <w:tcPr>
            <w:tcW w:w="988" w:type="dxa"/>
            <w:vAlign w:val="center"/>
          </w:tcPr>
          <w:p w14:paraId="24747501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3,0-3,5</w:t>
            </w:r>
          </w:p>
        </w:tc>
        <w:tc>
          <w:tcPr>
            <w:tcW w:w="2551" w:type="dxa"/>
            <w:vMerge/>
            <w:vAlign w:val="center"/>
          </w:tcPr>
          <w:p w14:paraId="22B967A7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3DCA45AA" w14:textId="70AFB226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Злостные многолетние сорные растения (свинорой, вьюнок полевой, бодяк полевой и другие корнео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прысковые)</w:t>
            </w:r>
          </w:p>
        </w:tc>
        <w:tc>
          <w:tcPr>
            <w:tcW w:w="1978" w:type="dxa"/>
            <w:vAlign w:val="center"/>
          </w:tcPr>
          <w:p w14:paraId="13DF55FD" w14:textId="4D971190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вегетирующих сорняков в конце лета или осенью в послеуборочный период.</w:t>
            </w:r>
          </w:p>
          <w:p w14:paraId="79F28C78" w14:textId="58EE413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r w:rsidR="006F1DB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100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 л/га</w:t>
            </w:r>
          </w:p>
        </w:tc>
        <w:tc>
          <w:tcPr>
            <w:tcW w:w="1412" w:type="dxa"/>
            <w:vMerge/>
            <w:vAlign w:val="center"/>
          </w:tcPr>
          <w:p w14:paraId="6903D552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A6533" w:rsidRPr="00FE70D5" w14:paraId="328D1227" w14:textId="77777777" w:rsidTr="00600698">
        <w:trPr>
          <w:trHeight w:val="20"/>
          <w:jc w:val="center"/>
        </w:trPr>
        <w:tc>
          <w:tcPr>
            <w:tcW w:w="988" w:type="dxa"/>
            <w:vAlign w:val="center"/>
          </w:tcPr>
          <w:p w14:paraId="40B24FAD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1,0-2,0</w:t>
            </w:r>
          </w:p>
        </w:tc>
        <w:tc>
          <w:tcPr>
            <w:tcW w:w="2551" w:type="dxa"/>
            <w:vMerge w:val="restart"/>
            <w:vAlign w:val="center"/>
          </w:tcPr>
          <w:p w14:paraId="13A76D7A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Пары</w:t>
            </w:r>
          </w:p>
        </w:tc>
        <w:tc>
          <w:tcPr>
            <w:tcW w:w="2416" w:type="dxa"/>
            <w:vAlign w:val="center"/>
          </w:tcPr>
          <w:p w14:paraId="191F9BB1" w14:textId="2DDAC3B1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сорные растения</w:t>
            </w:r>
          </w:p>
        </w:tc>
        <w:tc>
          <w:tcPr>
            <w:tcW w:w="1978" w:type="dxa"/>
            <w:vMerge w:val="restart"/>
            <w:vAlign w:val="center"/>
          </w:tcPr>
          <w:p w14:paraId="6CA49BE1" w14:textId="49CDDE7A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вегетирующих сорных растений в период их активного роста.</w:t>
            </w:r>
          </w:p>
          <w:p w14:paraId="639B5650" w14:textId="26DCE85A" w:rsidR="000A6533" w:rsidRPr="00FE70D5" w:rsidRDefault="000A6533" w:rsidP="00600698">
            <w:pPr>
              <w:tabs>
                <w:tab w:val="left" w:pos="1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рабочей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жидкости - 100-200 л/га</w:t>
            </w:r>
          </w:p>
        </w:tc>
        <w:tc>
          <w:tcPr>
            <w:tcW w:w="1412" w:type="dxa"/>
            <w:vMerge/>
            <w:vAlign w:val="center"/>
          </w:tcPr>
          <w:p w14:paraId="594B2310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A6533" w:rsidRPr="00FE70D5" w14:paraId="30E8E8D4" w14:textId="77777777" w:rsidTr="00600698">
        <w:trPr>
          <w:trHeight w:val="20"/>
          <w:jc w:val="center"/>
        </w:trPr>
        <w:tc>
          <w:tcPr>
            <w:tcW w:w="988" w:type="dxa"/>
            <w:vAlign w:val="center"/>
          </w:tcPr>
          <w:p w14:paraId="79264EDD" w14:textId="49BBCF2B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2,0-3,0</w:t>
            </w:r>
          </w:p>
        </w:tc>
        <w:tc>
          <w:tcPr>
            <w:tcW w:w="2551" w:type="dxa"/>
            <w:vMerge/>
            <w:vAlign w:val="center"/>
          </w:tcPr>
          <w:p w14:paraId="4DAC7F47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6D9B9E88" w14:textId="1F525903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Многолетние злаковые и двудольные сорные растения</w:t>
            </w:r>
          </w:p>
        </w:tc>
        <w:tc>
          <w:tcPr>
            <w:tcW w:w="1978" w:type="dxa"/>
            <w:vMerge/>
            <w:vAlign w:val="center"/>
          </w:tcPr>
          <w:p w14:paraId="061DBC26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3DC7B148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A6533" w:rsidRPr="00FE70D5" w14:paraId="7CCDB66E" w14:textId="77777777" w:rsidTr="00600698">
        <w:trPr>
          <w:trHeight w:val="20"/>
          <w:jc w:val="center"/>
        </w:trPr>
        <w:tc>
          <w:tcPr>
            <w:tcW w:w="988" w:type="dxa"/>
            <w:vAlign w:val="center"/>
          </w:tcPr>
          <w:p w14:paraId="0BEBF203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3,0-3,5</w:t>
            </w:r>
          </w:p>
        </w:tc>
        <w:tc>
          <w:tcPr>
            <w:tcW w:w="2551" w:type="dxa"/>
            <w:vMerge/>
            <w:vAlign w:val="center"/>
          </w:tcPr>
          <w:p w14:paraId="75B0027A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7C5BF4A8" w14:textId="15C48FB5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Злостные многолетние сорные растения (свинорой, вьюнок полевой, бодяк полевой и другие корнеотпрысковые)</w:t>
            </w:r>
          </w:p>
        </w:tc>
        <w:tc>
          <w:tcPr>
            <w:tcW w:w="1978" w:type="dxa"/>
            <w:vMerge/>
            <w:vAlign w:val="center"/>
          </w:tcPr>
          <w:p w14:paraId="6EC5D86D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370CB021" w14:textId="77777777" w:rsidR="000A6533" w:rsidRPr="00FE70D5" w:rsidRDefault="000A6533" w:rsidP="00FE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A6533" w:rsidRPr="00600698" w14:paraId="404D2AEA" w14:textId="77777777" w:rsidTr="00600698">
        <w:trPr>
          <w:trHeight w:val="20"/>
          <w:jc w:val="center"/>
        </w:trPr>
        <w:tc>
          <w:tcPr>
            <w:tcW w:w="988" w:type="dxa"/>
            <w:vAlign w:val="center"/>
          </w:tcPr>
          <w:p w14:paraId="71F1B410" w14:textId="77777777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1,5-3,0</w:t>
            </w:r>
          </w:p>
        </w:tc>
        <w:tc>
          <w:tcPr>
            <w:tcW w:w="2551" w:type="dxa"/>
            <w:vMerge w:val="restart"/>
            <w:vAlign w:val="center"/>
          </w:tcPr>
          <w:p w14:paraId="6095CB23" w14:textId="566060CA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Земли несельскохозяйственного назначения (охранные зоны линий электропередач и просеки, трассы газо-и нефтепроводов, 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насыпи и полосы отчуждения железных и шоссейных дорог, аэродромы, промышленные территории)</w:t>
            </w:r>
          </w:p>
        </w:tc>
        <w:tc>
          <w:tcPr>
            <w:tcW w:w="2416" w:type="dxa"/>
            <w:vAlign w:val="center"/>
          </w:tcPr>
          <w:p w14:paraId="6D9EEB55" w14:textId="6F03885C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Все виды нежелательных травянистых растений (за исключением относительно устойчивых </w:t>
            </w:r>
            <w:proofErr w:type="spellStart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вейника</w:t>
            </w:r>
            <w:proofErr w:type="spellEnd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, тростника), 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лиственные древесно-кустарниковые породы (осина, береза, ольха)</w:t>
            </w:r>
          </w:p>
        </w:tc>
        <w:tc>
          <w:tcPr>
            <w:tcW w:w="1978" w:type="dxa"/>
            <w:vMerge w:val="restart"/>
            <w:vAlign w:val="center"/>
          </w:tcPr>
          <w:p w14:paraId="04B7121F" w14:textId="5778ECF4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Опрыскивание вегетирующей нежелательной растительности.</w:t>
            </w:r>
          </w:p>
          <w:p w14:paraId="7E3ED4A6" w14:textId="0279B430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Срок возможного пребывания людей на обработанных 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территориях не ранее 15 дней после обработки. Сбор дикорастущих грибов и ягод в сезон обработок не допускается.</w:t>
            </w:r>
          </w:p>
          <w:p w14:paraId="4B70D6A5" w14:textId="1DB26ED8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r w:rsidR="00881B9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100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 л/га</w:t>
            </w:r>
          </w:p>
        </w:tc>
        <w:tc>
          <w:tcPr>
            <w:tcW w:w="1412" w:type="dxa"/>
            <w:vMerge/>
            <w:vAlign w:val="center"/>
          </w:tcPr>
          <w:p w14:paraId="42E758F9" w14:textId="7AA09D76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0A6533" w:rsidRPr="00600698" w14:paraId="4B07736E" w14:textId="77777777" w:rsidTr="00600698">
        <w:trPr>
          <w:trHeight w:val="20"/>
          <w:jc w:val="center"/>
        </w:trPr>
        <w:tc>
          <w:tcPr>
            <w:tcW w:w="988" w:type="dxa"/>
            <w:vAlign w:val="center"/>
          </w:tcPr>
          <w:p w14:paraId="6B742068" w14:textId="77777777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3,0-4,0</w:t>
            </w:r>
          </w:p>
        </w:tc>
        <w:tc>
          <w:tcPr>
            <w:tcW w:w="2551" w:type="dxa"/>
            <w:vMerge/>
            <w:vAlign w:val="center"/>
          </w:tcPr>
          <w:p w14:paraId="610C27F8" w14:textId="77777777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2A664E67" w14:textId="46C066EB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Относительно устойчивые нежелательные травянистые растения (</w:t>
            </w:r>
            <w:proofErr w:type="spellStart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вейник</w:t>
            </w:r>
            <w:proofErr w:type="spellEnd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тростник), лиственные древесно-кустарниковые породы (ива, клен, ясень, вяз, акация)</w:t>
            </w:r>
          </w:p>
        </w:tc>
        <w:tc>
          <w:tcPr>
            <w:tcW w:w="1978" w:type="dxa"/>
            <w:vMerge/>
            <w:vAlign w:val="center"/>
          </w:tcPr>
          <w:p w14:paraId="31DAA22E" w14:textId="77777777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2B8C939B" w14:textId="77777777" w:rsidR="000A6533" w:rsidRPr="00600698" w:rsidRDefault="000A6533" w:rsidP="00804663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2639213" w14:textId="77777777" w:rsidR="001B255B" w:rsidRPr="001B255B" w:rsidRDefault="001B255B" w:rsidP="001B25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1B255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Срок ожидания не регламентируется.</w:t>
      </w:r>
    </w:p>
    <w:p w14:paraId="692A10D2" w14:textId="437BF455" w:rsidR="001B255B" w:rsidRPr="001B255B" w:rsidRDefault="001B255B" w:rsidP="001B25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1B255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случае производственной необходимости проведения механизированных работ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B255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на обработанных участках срок безопасного выхода людей на эти площади - не ранее 7 дней после обработки.</w:t>
      </w:r>
    </w:p>
    <w:bookmarkEnd w:id="52"/>
    <w:p w14:paraId="69875883" w14:textId="77777777" w:rsidR="00674A8D" w:rsidRPr="00674A8D" w:rsidRDefault="00674A8D" w:rsidP="00674A8D">
      <w:pPr>
        <w:spacing w:line="256" w:lineRule="auto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  <w14:ligatures w14:val="none"/>
        </w:rPr>
        <w:br w:type="page"/>
      </w:r>
    </w:p>
    <w:p w14:paraId="085B7B9A" w14:textId="77777777" w:rsidR="00674A8D" w:rsidRPr="00674A8D" w:rsidRDefault="00674A8D" w:rsidP="00674A8D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53" w:name="_Toc138952553"/>
      <w:bookmarkStart w:id="54" w:name="_Toc142312902"/>
      <w:bookmarkStart w:id="55" w:name="_Toc146806464"/>
      <w:bookmarkStart w:id="56" w:name="_Toc146806508"/>
      <w:bookmarkStart w:id="57" w:name="_Toc147327237"/>
      <w:bookmarkStart w:id="58" w:name="_Toc147327675"/>
      <w:bookmarkStart w:id="59" w:name="_Toc147930816"/>
      <w:bookmarkStart w:id="60" w:name="_Toc147930844"/>
      <w:bookmarkStart w:id="61" w:name="_Toc152336445"/>
      <w:bookmarkStart w:id="62" w:name="_Toc152336473"/>
      <w:bookmarkStart w:id="63" w:name="_Toc153455307"/>
      <w:bookmarkStart w:id="64" w:name="_Toc161226480"/>
      <w:bookmarkStart w:id="65" w:name="_Toc161226508"/>
      <w:bookmarkStart w:id="66" w:name="_Toc162516271"/>
      <w:bookmarkStart w:id="67" w:name="_Toc165976681"/>
      <w:bookmarkStart w:id="68" w:name="_Toc180068300"/>
      <w:r w:rsidRPr="00674A8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lastRenderedPageBreak/>
        <w:t>3. ПОЯСНИТЕЛЬНАЯ ЗАПИСКА ПО ОБОСНОВЫВАЮЩЕЙ ДОКУМЕНТАЦИИ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8A16689" w14:textId="77777777" w:rsidR="00674A8D" w:rsidRPr="00674A8D" w:rsidRDefault="00674A8D" w:rsidP="00674A8D">
      <w:pPr>
        <w:keepNext/>
        <w:keepLines/>
        <w:spacing w:before="200"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  <w:bookmarkStart w:id="69" w:name="_Toc514173463"/>
      <w:bookmarkStart w:id="70" w:name="_Toc524340260"/>
      <w:bookmarkStart w:id="71" w:name="_Toc535397784"/>
      <w:bookmarkStart w:id="72" w:name="_Toc536568094"/>
      <w:bookmarkStart w:id="73" w:name="_Toc2704416"/>
      <w:bookmarkStart w:id="74" w:name="_Toc2799323"/>
      <w:bookmarkStart w:id="75" w:name="_Toc12876744"/>
      <w:bookmarkStart w:id="76" w:name="_Toc17124478"/>
      <w:bookmarkStart w:id="77" w:name="_Toc18431110"/>
      <w:bookmarkStart w:id="78" w:name="_Toc22724616"/>
      <w:bookmarkStart w:id="79" w:name="_Toc35815179"/>
      <w:bookmarkStart w:id="80" w:name="_Toc36485659"/>
      <w:bookmarkStart w:id="81" w:name="_Toc36572762"/>
      <w:bookmarkStart w:id="82" w:name="_Toc36658123"/>
      <w:bookmarkStart w:id="83" w:name="_Toc36728355"/>
      <w:bookmarkStart w:id="84" w:name="_Toc37066558"/>
      <w:bookmarkStart w:id="85" w:name="_Toc46701766"/>
      <w:bookmarkStart w:id="86" w:name="_Toc69293863"/>
      <w:bookmarkStart w:id="87" w:name="_Toc71899527"/>
      <w:bookmarkStart w:id="88" w:name="_Toc72333446"/>
      <w:bookmarkStart w:id="89" w:name="_Toc84337335"/>
      <w:bookmarkStart w:id="90" w:name="_Toc85550150"/>
      <w:bookmarkStart w:id="91" w:name="_Toc86323498"/>
      <w:bookmarkStart w:id="92" w:name="_Toc87968322"/>
      <w:bookmarkStart w:id="93" w:name="_Toc88058483"/>
      <w:bookmarkStart w:id="94" w:name="_Toc88485995"/>
      <w:bookmarkStart w:id="95" w:name="_Toc95902392"/>
      <w:bookmarkStart w:id="96" w:name="_Toc96962437"/>
      <w:bookmarkStart w:id="97" w:name="_Toc106185727"/>
      <w:bookmarkStart w:id="98" w:name="_Toc109664349"/>
      <w:bookmarkStart w:id="99" w:name="_Toc109750138"/>
      <w:bookmarkStart w:id="100" w:name="_Toc117523601"/>
      <w:bookmarkStart w:id="101" w:name="_Toc119486197"/>
      <w:bookmarkStart w:id="102" w:name="_Toc119659709"/>
      <w:bookmarkStart w:id="103" w:name="_Toc119679635"/>
      <w:bookmarkStart w:id="104" w:name="_Toc135160825"/>
      <w:bookmarkStart w:id="105" w:name="_Toc135216947"/>
      <w:bookmarkStart w:id="106" w:name="_Toc138952554"/>
      <w:bookmarkStart w:id="107" w:name="_Toc142312903"/>
      <w:bookmarkStart w:id="108" w:name="_Toc146806465"/>
      <w:bookmarkStart w:id="109" w:name="_Toc146806509"/>
      <w:bookmarkStart w:id="110" w:name="_Toc147327238"/>
      <w:bookmarkStart w:id="111" w:name="_Toc147327676"/>
      <w:bookmarkStart w:id="112" w:name="_Toc147930817"/>
      <w:bookmarkStart w:id="113" w:name="_Toc147930845"/>
      <w:bookmarkStart w:id="114" w:name="_Toc152336446"/>
      <w:bookmarkStart w:id="115" w:name="_Toc152336474"/>
      <w:bookmarkStart w:id="116" w:name="_Toc153455308"/>
      <w:bookmarkStart w:id="117" w:name="_Toc161226481"/>
      <w:bookmarkStart w:id="118" w:name="_Toc161226509"/>
      <w:bookmarkStart w:id="119" w:name="_Toc162516272"/>
      <w:bookmarkStart w:id="120" w:name="_Toc165976682"/>
      <w:bookmarkStart w:id="121" w:name="_Toc180068301"/>
      <w:r w:rsidRPr="00674A8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3.1. Общие 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674A8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ar-SA"/>
          <w14:ligatures w14:val="none"/>
        </w:rPr>
        <w:t>сведения об объекте государственной экологической экспертизы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22E77A5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Наименование препарата:</w:t>
      </w:r>
    </w:p>
    <w:p w14:paraId="6B24EC6F" w14:textId="77777777" w:rsidR="000307EE" w:rsidRDefault="000307EE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07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Кэйталин Экстра, ВДГ (687 г/кг глифосата кислоты (изопропиламинная соль)</w:t>
      </w:r>
    </w:p>
    <w:p w14:paraId="05AA80BA" w14:textId="40F0A634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2. Назначение препарата:</w:t>
      </w:r>
    </w:p>
    <w:p w14:paraId="791916A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</w:t>
      </w:r>
    </w:p>
    <w:p w14:paraId="52867ED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Действующее вещество (по ISO, </w:t>
      </w:r>
      <w:bookmarkStart w:id="122" w:name="_Hlk152332546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IUPAC</w:t>
      </w:r>
      <w:bookmarkEnd w:id="122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, № CAS):</w:t>
      </w:r>
    </w:p>
    <w:p w14:paraId="0CBC383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ISO: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глифосат </w:t>
      </w:r>
    </w:p>
    <w:p w14:paraId="2BC4C44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IUPAC: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N-(</w:t>
      </w: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фосфонометил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)-глицин</w:t>
      </w: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36ABE4FD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CAS №: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[1071-83-6]</w:t>
      </w:r>
    </w:p>
    <w:p w14:paraId="7B7C9307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4. Химический класс действующего вещества:</w:t>
      </w:r>
    </w:p>
    <w:p w14:paraId="75215A91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Производные глицина</w:t>
      </w:r>
    </w:p>
    <w:p w14:paraId="1B9C6397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Концентрация действующего вещества (в г/л или в г/кг):</w:t>
      </w:r>
    </w:p>
    <w:p w14:paraId="4E757208" w14:textId="77777777" w:rsidR="000307EE" w:rsidRPr="000307EE" w:rsidRDefault="000307EE" w:rsidP="000307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0307EE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  <w:t>687 г/кг</w:t>
      </w:r>
    </w:p>
    <w:p w14:paraId="36CEBBF7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Препаративная форма:</w:t>
      </w:r>
    </w:p>
    <w:p w14:paraId="4A0675D9" w14:textId="77777777" w:rsidR="000307EE" w:rsidRPr="000307EE" w:rsidRDefault="000307EE" w:rsidP="000307EE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07E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Водно-диспергируемые гранулы (ВДГ)</w:t>
      </w:r>
    </w:p>
    <w:p w14:paraId="0CDBB7D7" w14:textId="77777777" w:rsidR="00674A8D" w:rsidRPr="00674A8D" w:rsidRDefault="00674A8D" w:rsidP="00674A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Нормативная документация:</w:t>
      </w:r>
    </w:p>
    <w:p w14:paraId="77366501" w14:textId="07A0A94F" w:rsidR="000307EE" w:rsidRPr="000307EE" w:rsidRDefault="000307EE" w:rsidP="000307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123" w:name="_Toc514173464"/>
      <w:bookmarkStart w:id="124" w:name="_Toc524340261"/>
      <w:bookmarkStart w:id="125" w:name="_Toc535397785"/>
      <w:bookmarkStart w:id="126" w:name="_Toc536568095"/>
      <w:bookmarkStart w:id="127" w:name="_Toc2704417"/>
      <w:bookmarkStart w:id="128" w:name="_Toc2799324"/>
      <w:bookmarkStart w:id="129" w:name="_Toc12876745"/>
      <w:bookmarkStart w:id="130" w:name="_Toc17124479"/>
      <w:bookmarkStart w:id="131" w:name="_Toc18431111"/>
      <w:bookmarkStart w:id="132" w:name="_Toc22724617"/>
      <w:bookmarkStart w:id="133" w:name="_Toc35815180"/>
      <w:bookmarkStart w:id="134" w:name="_Toc36485660"/>
      <w:bookmarkStart w:id="135" w:name="_Toc36572763"/>
      <w:bookmarkStart w:id="136" w:name="_Toc36658124"/>
      <w:bookmarkStart w:id="137" w:name="_Toc36728356"/>
      <w:bookmarkStart w:id="138" w:name="_Toc37066559"/>
      <w:bookmarkStart w:id="139" w:name="_Toc46701767"/>
      <w:bookmarkStart w:id="140" w:name="_Toc69293864"/>
      <w:bookmarkStart w:id="141" w:name="_Toc71899528"/>
      <w:bookmarkStart w:id="142" w:name="_Toc72333447"/>
      <w:bookmarkStart w:id="143" w:name="_Toc84337336"/>
      <w:bookmarkStart w:id="144" w:name="_Toc85550151"/>
      <w:bookmarkStart w:id="145" w:name="_Toc86323499"/>
      <w:bookmarkStart w:id="146" w:name="_Toc88058484"/>
      <w:bookmarkStart w:id="147" w:name="_Toc89175748"/>
      <w:bookmarkStart w:id="148" w:name="_Toc89261501"/>
      <w:bookmarkStart w:id="149" w:name="_Toc92791521"/>
      <w:bookmarkStart w:id="150" w:name="_Toc93322559"/>
      <w:bookmarkStart w:id="151" w:name="_Toc95828154"/>
      <w:bookmarkStart w:id="152" w:name="_Toc98316359"/>
      <w:bookmarkStart w:id="153" w:name="_Toc100072083"/>
      <w:bookmarkStart w:id="154" w:name="_Toc109750139"/>
      <w:bookmarkStart w:id="155" w:name="_Toc112743810"/>
      <w:bookmarkStart w:id="156" w:name="_Toc112766129"/>
      <w:bookmarkStart w:id="157" w:name="_Toc114734033"/>
      <w:bookmarkStart w:id="158" w:name="_Toc116465281"/>
      <w:bookmarkStart w:id="159" w:name="_Toc118192023"/>
      <w:bookmarkStart w:id="160" w:name="_Toc124253107"/>
      <w:bookmarkStart w:id="161" w:name="_Toc124344639"/>
      <w:bookmarkStart w:id="162" w:name="_Toc124780546"/>
      <w:bookmarkStart w:id="163" w:name="_Toc124846617"/>
      <w:bookmarkStart w:id="164" w:name="_Toc125368932"/>
      <w:bookmarkStart w:id="165" w:name="_Toc125375393"/>
      <w:bookmarkStart w:id="166" w:name="_Toc126836543"/>
      <w:bookmarkStart w:id="167" w:name="_Toc126938652"/>
      <w:bookmarkStart w:id="168" w:name="_Toc127183997"/>
      <w:bookmarkStart w:id="169" w:name="_Toc127266397"/>
      <w:bookmarkStart w:id="170" w:name="_Toc133315927"/>
      <w:bookmarkStart w:id="171" w:name="_Toc135160826"/>
      <w:bookmarkStart w:id="172" w:name="_Toc135216948"/>
      <w:bookmarkStart w:id="173" w:name="_Toc138952555"/>
      <w:bookmarkStart w:id="174" w:name="_Toc142312904"/>
      <w:bookmarkStart w:id="175" w:name="_Toc146806466"/>
      <w:bookmarkStart w:id="176" w:name="_Toc146806510"/>
      <w:bookmarkStart w:id="177" w:name="_Toc147327239"/>
      <w:bookmarkStart w:id="178" w:name="_Toc147327677"/>
      <w:bookmarkStart w:id="179" w:name="_Toc147930818"/>
      <w:bookmarkStart w:id="180" w:name="_Toc147930846"/>
      <w:bookmarkStart w:id="181" w:name="_Toc152336447"/>
      <w:bookmarkStart w:id="182" w:name="_Toc152336475"/>
      <w:bookmarkStart w:id="183" w:name="_Toc153455309"/>
      <w:bookmarkStart w:id="184" w:name="_Toc161226482"/>
      <w:bookmarkStart w:id="185" w:name="_Toc161226510"/>
      <w:bookmarkStart w:id="186" w:name="_Toc162516273"/>
      <w:bookmarkStart w:id="187" w:name="_Toc165976683"/>
      <w:r w:rsidRPr="000307E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ТУ 20.20.12-038-94449657-2023</w:t>
      </w:r>
      <w:r w:rsidR="00D97C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CCDE1E7" w14:textId="398C02A8" w:rsidR="000307EE" w:rsidRPr="000307EE" w:rsidRDefault="000307EE" w:rsidP="000307E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0307E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ТУ 20.20.12-039-94449657-2023</w:t>
      </w:r>
      <w:r w:rsidR="00D97C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C5B888D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ru-RU" w:bidi="ru-RU"/>
        </w:rPr>
      </w:pPr>
    </w:p>
    <w:p w14:paraId="5E9273FE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88" w:name="_Toc180068302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3.2. Сведения по оценке биологической эффективности, безопасности и свойствам пестицида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378D15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Спектр действия:</w:t>
      </w:r>
    </w:p>
    <w:p w14:paraId="621D0F74" w14:textId="42F1FFD1" w:rsidR="000307EE" w:rsidRPr="000307EE" w:rsidRDefault="000307EE" w:rsidP="000307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307E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Кэйталин Экстра, ВДГ - системный гербицид сплошного действия для подавления однолетних и многолетних сорняков при послевсходовом применении.</w:t>
      </w:r>
    </w:p>
    <w:p w14:paraId="4A42E2A1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>2. Сфера применения:</w:t>
      </w:r>
    </w:p>
    <w:p w14:paraId="109CB4A6" w14:textId="77777777" w:rsidR="000307EE" w:rsidRPr="000307EE" w:rsidRDefault="000307EE" w:rsidP="000307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0307EE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Культуры:</w:t>
      </w:r>
    </w:p>
    <w:p w14:paraId="66CB0ABC" w14:textId="68751101" w:rsidR="000307EE" w:rsidRPr="000307EE" w:rsidRDefault="000307EE" w:rsidP="000307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0307E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Пары; поля, предназначенные под посев яровых зерновых культур; земли несельскохозяйственного назначения (охранные зоны линий электропередач и просеки, трассы газо- и нефтепроводов, насыпи и полосы отчуждения железных и шоссейных дорог, аэродромы, промышленные территории).</w:t>
      </w:r>
    </w:p>
    <w:p w14:paraId="4533465B" w14:textId="1D449C2B" w:rsidR="000307EE" w:rsidRPr="00C070BF" w:rsidRDefault="000307EE" w:rsidP="000307E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070B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Кэйталин Экстра, ВДГ подавляет рост и развитие следующих сорных растений: </w:t>
      </w:r>
    </w:p>
    <w:p w14:paraId="1F6FBD8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Однолетние злаки:</w:t>
      </w:r>
    </w:p>
    <w:p w14:paraId="1CC5950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Канареечник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ab/>
        <w:t xml:space="preserve">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Phalauis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62F2A4A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Костер (виды)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Bromus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11A3E6A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Куриное просо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Echinochloa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crus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-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galli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L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57D4BBE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Лисохвост мышехвостиковый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Alopecurus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myosyroiles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L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17399D4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Мятлик однолетний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Роа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annua L.</w:t>
      </w:r>
    </w:p>
    <w:p w14:paraId="1854940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Щетинник (виды)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Setaria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7FBE959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Многолетние злаковые:</w:t>
      </w:r>
    </w:p>
    <w:p w14:paraId="4D7DE101" w14:textId="6C27E5ED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Вейник (виды)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Caiamagrostis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="000307EE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712DB5B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Ежа сборная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Dactylis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gromerata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L.</w:t>
      </w:r>
    </w:p>
    <w:p w14:paraId="01A0D28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Мятлик (виды)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Роа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11B821C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Овсяница луговая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Festuca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pratensis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Huds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5FF4F91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Полевица (виды)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Agrostis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5404708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Пырей ползучий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Ellytrigia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repens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(L.)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Beauv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495E081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Тимофеевка луговая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Phleum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pratense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L.</w:t>
      </w:r>
    </w:p>
    <w:p w14:paraId="37694FC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Щучка дернистая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Deschampsia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caespitosa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(L.)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Beauv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5E26043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Двудольные однолетние и многолетние растения:</w:t>
      </w:r>
    </w:p>
    <w:p w14:paraId="737DA9E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Амброзия полыннолистная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Ambrosia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artemisiifolia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L.</w:t>
      </w:r>
    </w:p>
    <w:p w14:paraId="36EB9B32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Будра плющевидная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Glechoma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hederacea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L.</w:t>
      </w:r>
    </w:p>
    <w:p w14:paraId="07ADA15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Вероника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Veronica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2B122CD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Герань (виды)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Geranium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734FF9F7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Горец (виды)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Polygonum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5E35773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Горошек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Vicia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442B1D7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Горчица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полевая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Sinapis arvensis L.</w:t>
      </w:r>
    </w:p>
    <w:p w14:paraId="4516700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Гулявник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Sisymbrium spp.</w:t>
      </w:r>
    </w:p>
    <w:p w14:paraId="08D51B9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Дурнишник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Xanthium spp.</w:t>
      </w:r>
    </w:p>
    <w:p w14:paraId="7290D95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Дымянка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виды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)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Fumaria spp.</w:t>
      </w:r>
    </w:p>
    <w:p w14:paraId="39EE6B6B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Звездчатка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средняя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Stellaria spp.</w:t>
      </w:r>
    </w:p>
    <w:p w14:paraId="0A9BC41D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Клоповник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сорный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Lepidium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ruderale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L.</w:t>
      </w:r>
    </w:p>
    <w:p w14:paraId="14BF30A7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Крапива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жгучая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Urtica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urens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L.</w:t>
      </w:r>
    </w:p>
    <w:p w14:paraId="05BA3F47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Крестовник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виды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)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Senecio spp.</w:t>
      </w:r>
    </w:p>
    <w:p w14:paraId="551A3AA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Лебеда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виды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)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Atriplex spp.</w:t>
      </w:r>
    </w:p>
    <w:p w14:paraId="6A489A17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Марь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виды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)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Chenopodium spp.</w:t>
      </w:r>
    </w:p>
    <w:p w14:paraId="7E4C4F8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Мелколепестник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канадский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Erigeron canadensis L.</w:t>
      </w:r>
    </w:p>
    <w:p w14:paraId="5092D7F6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Молочай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виды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)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Euphorbia spp.</w:t>
      </w:r>
    </w:p>
    <w:p w14:paraId="2C73D8F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Осот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колючий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Sonchus asper L.</w:t>
      </w:r>
    </w:p>
    <w:p w14:paraId="7356C14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Осот огородный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S.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oleraceus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L.</w:t>
      </w:r>
    </w:p>
    <w:p w14:paraId="6241F3A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Пастушья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сумка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Capsella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bursa-pastoris (L.) Medic.</w:t>
      </w:r>
    </w:p>
    <w:p w14:paraId="172CF0F6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Пикульник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виды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Galeopsis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spp.</w:t>
      </w:r>
    </w:p>
    <w:p w14:paraId="3224D60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Подмаренник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виды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Galium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spp.</w:t>
      </w:r>
    </w:p>
    <w:p w14:paraId="4A346B8B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Пупавка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Anthenus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spp.</w:t>
      </w:r>
    </w:p>
    <w:p w14:paraId="580E7D86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Редька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дикая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Raphanus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raphanistrum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L.</w:t>
      </w:r>
    </w:p>
    <w:p w14:paraId="3EF2693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Ромашка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виды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Matricaria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spp.</w:t>
      </w:r>
    </w:p>
    <w:p w14:paraId="74BABC77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Смолёвка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виды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)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Silene spp.</w:t>
      </w:r>
    </w:p>
    <w:p w14:paraId="3ADD137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Сурепка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обыкновенная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Barbarea vulgaris R. Br.</w:t>
      </w:r>
    </w:p>
    <w:p w14:paraId="4E41C92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Фиалка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трёхцветная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Viola tricolor L.</w:t>
      </w:r>
    </w:p>
    <w:p w14:paraId="4CCDB03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Чистец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Stachys spp.</w:t>
      </w:r>
    </w:p>
    <w:p w14:paraId="09EEBEF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Щирица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Amaranthus spp.</w:t>
      </w:r>
    </w:p>
    <w:p w14:paraId="272018E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Ярутка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полевая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Thlaspi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arvense L.</w:t>
      </w:r>
    </w:p>
    <w:p w14:paraId="1567A78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Ясколка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виды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Cerastium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spp.</w:t>
      </w:r>
    </w:p>
    <w:p w14:paraId="4493224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Яснотка (виды)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Lamium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5B9648F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Многолетние двудольные:</w:t>
      </w:r>
    </w:p>
    <w:p w14:paraId="2F7A29C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Бодяк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полевой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Cirsium arvense Scop.</w:t>
      </w:r>
    </w:p>
    <w:p w14:paraId="7CA0E53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Борщевик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Heracleum spp.</w:t>
      </w:r>
    </w:p>
    <w:p w14:paraId="43877FB2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Вереск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обыкновенный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Calluna vulgaris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Salisb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.</w:t>
      </w:r>
    </w:p>
    <w:p w14:paraId="403AB96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Вьюнок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полевой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Convolvulus arvensis L.</w:t>
      </w:r>
    </w:p>
    <w:p w14:paraId="27E6F01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Зверобой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продырявленный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Hypericum perforatum L.</w:t>
      </w:r>
    </w:p>
    <w:p w14:paraId="619690F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Кипрей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Epilobium spp.</w:t>
      </w:r>
    </w:p>
    <w:p w14:paraId="6844BE1B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Клевер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Trifolium spp.</w:t>
      </w:r>
    </w:p>
    <w:p w14:paraId="303DF23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Крапива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двудомная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Urtica dioica L.</w:t>
      </w:r>
    </w:p>
    <w:p w14:paraId="5383059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Лапчатка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Potentilla spp.</w:t>
      </w:r>
    </w:p>
    <w:p w14:paraId="647A8696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Лопух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Arctium spp.</w:t>
      </w:r>
    </w:p>
    <w:p w14:paraId="4B8A17A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Льнянка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обыкновенная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Linaria vulgaris Mill.</w:t>
      </w:r>
    </w:p>
    <w:p w14:paraId="0BBB83B2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Лютик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Ranunculus spp.</w:t>
      </w:r>
    </w:p>
    <w:p w14:paraId="33B8057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Мать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-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-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мачеха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Tussilago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farfara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L.</w:t>
      </w:r>
    </w:p>
    <w:p w14:paraId="35B5F90D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Мята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Mentha spp.</w:t>
      </w:r>
    </w:p>
    <w:p w14:paraId="21202D42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Одуванчик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лекарственный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Taraxacum officinale Wigg.</w:t>
      </w:r>
    </w:p>
    <w:p w14:paraId="6A75060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Осот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полевой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Sonchus arvensis L.</w:t>
      </w:r>
    </w:p>
    <w:p w14:paraId="26753E92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Пижма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обыкновенная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Tanacetum vulgare L.</w:t>
      </w:r>
    </w:p>
    <w:p w14:paraId="7AEE1C76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Подорожник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ab/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Plantago spp.</w:t>
      </w:r>
    </w:p>
    <w:p w14:paraId="1BC6C84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Полынь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Artemisia spp.</w:t>
      </w:r>
    </w:p>
    <w:p w14:paraId="33FD93A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Сныть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обыкновенная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Aegopodium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podagraria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L.</w:t>
      </w:r>
    </w:p>
    <w:p w14:paraId="2217057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Споровые:</w:t>
      </w:r>
    </w:p>
    <w:p w14:paraId="6838F00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Хвощи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Equisetum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spp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6B5E3CC6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Растения заболоченных площадей:</w:t>
      </w:r>
    </w:p>
    <w:p w14:paraId="194E632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Бодяк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болотный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Cirsium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palustre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Scop.</w:t>
      </w:r>
    </w:p>
    <w:p w14:paraId="6F3EA64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Горец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земноводный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Polygonum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amphibium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L.</w:t>
      </w:r>
    </w:p>
    <w:p w14:paraId="517F080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Камыш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Scirpus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sylvaticus L.</w:t>
      </w:r>
    </w:p>
    <w:p w14:paraId="1164D58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Манник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Glicenia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spp.</w:t>
      </w:r>
    </w:p>
    <w:p w14:paraId="6460911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Осоки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Carex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spp.</w:t>
      </w:r>
    </w:p>
    <w:p w14:paraId="67AAA1D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Рогоз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широколистный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Typha latifolia L.</w:t>
      </w:r>
    </w:p>
    <w:p w14:paraId="180F1BA2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Ситник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Juncus spp.</w:t>
      </w:r>
    </w:p>
    <w:p w14:paraId="16A3D29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Тростник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лесной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-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Phragamites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commune Trin.</w:t>
      </w:r>
    </w:p>
    <w:p w14:paraId="25D3DD27" w14:textId="7239520B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Древесно-кустарниковая растительность</w:t>
      </w:r>
      <w:r w:rsidR="001F1340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ru-RU"/>
          <w14:ligatures w14:val="none"/>
        </w:rPr>
        <w:t>:</w:t>
      </w:r>
    </w:p>
    <w:p w14:paraId="4BD7EE45" w14:textId="31EB0701" w:rsidR="00674A8D" w:rsidRPr="00CD3971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Акация</w:t>
      </w:r>
      <w:r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714554"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Acacia</w:t>
      </w:r>
      <w:r w:rsidRPr="00CD397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spp</w:t>
      </w:r>
      <w:proofErr w:type="spellEnd"/>
      <w:r w:rsidRPr="00CD397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35DCA362" w14:textId="4BEE56A6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Береза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="0071455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–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Betula pendula Roth.</w:t>
      </w:r>
    </w:p>
    <w:p w14:paraId="6C74CA07" w14:textId="4E787B52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Вяз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="0071455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–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Ulmus L.</w:t>
      </w:r>
    </w:p>
    <w:p w14:paraId="5777702B" w14:textId="03B4F298" w:rsidR="00674A8D" w:rsidRPr="00CD3971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Ель</w:t>
      </w:r>
      <w:r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европейская</w:t>
      </w:r>
      <w:r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714554"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Picea</w:t>
      </w:r>
      <w:r w:rsidRPr="00CD397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abies</w:t>
      </w:r>
      <w:r w:rsidRPr="00CD397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L</w:t>
      </w:r>
      <w:r w:rsidRPr="00CD397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./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Karst</w:t>
      </w:r>
      <w:r w:rsidRPr="00CD397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1C1704C1" w14:textId="491C4FC0" w:rsidR="00674A8D" w:rsidRPr="00CD3971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Ива</w:t>
      </w:r>
      <w:r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виды</w:t>
      </w:r>
      <w:r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714554"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Salix</w:t>
      </w:r>
      <w:r w:rsidRPr="00CD397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spp</w:t>
      </w:r>
      <w:proofErr w:type="spellEnd"/>
      <w:r w:rsidRPr="00CD397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3A1E1F81" w14:textId="647D8721" w:rsidR="00674A8D" w:rsidRPr="00CD3971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Клен</w:t>
      </w:r>
      <w:r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714554"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CD397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Acer</w:t>
      </w:r>
      <w:r w:rsidRPr="00CD397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pseudoplatanus</w:t>
      </w:r>
      <w:r w:rsidRPr="00CD397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L</w:t>
      </w:r>
      <w:r w:rsidRPr="00CD397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30AB64F7" w14:textId="65941FEC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Крушина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ломкая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="0071455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–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Frangula alnus Mill.</w:t>
      </w:r>
    </w:p>
    <w:p w14:paraId="3A4D2E0C" w14:textId="61EBE078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Ольха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серая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="0071455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–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Alnus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incana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 xml:space="preserve"> /L/ </w:t>
      </w:r>
      <w:proofErr w:type="spellStart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Moeuck</w:t>
      </w:r>
      <w:proofErr w:type="spellEnd"/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.</w:t>
      </w:r>
    </w:p>
    <w:p w14:paraId="3DEC65CA" w14:textId="308A2919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Осина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="0071455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–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Populus tremula L.</w:t>
      </w:r>
    </w:p>
    <w:p w14:paraId="3109D1A6" w14:textId="1B21D16D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Рябина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обыкновенная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="0071455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–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Sorbus aucuparia L.</w:t>
      </w:r>
    </w:p>
    <w:p w14:paraId="60BC89EC" w14:textId="78DFFC28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Сосна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обыкновенная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="0071455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–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Pinus sylvestris.</w:t>
      </w:r>
    </w:p>
    <w:p w14:paraId="3C03FA8D" w14:textId="09D4B542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Ясень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="00714554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–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en-US" w:eastAsia="ru-RU" w:bidi="ru-RU"/>
          <w14:ligatures w14:val="none"/>
        </w:rPr>
        <w:t>Fraxinus L.</w:t>
      </w:r>
    </w:p>
    <w:p w14:paraId="7FAFC89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3. Рекомендуемый регламент применения: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2551"/>
        <w:gridCol w:w="2416"/>
        <w:gridCol w:w="1978"/>
        <w:gridCol w:w="1412"/>
      </w:tblGrid>
      <w:tr w:rsidR="007E6032" w:rsidRPr="00FE70D5" w14:paraId="6EF110B2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32F51FBA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189" w:name="_Hlk174527636"/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препарата, кг/га</w:t>
            </w:r>
          </w:p>
        </w:tc>
        <w:tc>
          <w:tcPr>
            <w:tcW w:w="2551" w:type="dxa"/>
            <w:vAlign w:val="center"/>
          </w:tcPr>
          <w:p w14:paraId="00CF0182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</w:t>
            </w:r>
          </w:p>
        </w:tc>
        <w:tc>
          <w:tcPr>
            <w:tcW w:w="2416" w:type="dxa"/>
            <w:vAlign w:val="center"/>
          </w:tcPr>
          <w:p w14:paraId="20799106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978" w:type="dxa"/>
            <w:vAlign w:val="center"/>
          </w:tcPr>
          <w:p w14:paraId="72BD60E1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1412" w:type="dxa"/>
            <w:vAlign w:val="center"/>
          </w:tcPr>
          <w:p w14:paraId="663A8AF0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(м</w:t>
            </w: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аксимальная кратность обработок в течение сезона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7E6032" w:rsidRPr="00FE70D5" w14:paraId="0C85B33C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311A7201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1,0-2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2551" w:type="dxa"/>
            <w:vMerge w:val="restart"/>
            <w:vAlign w:val="center"/>
          </w:tcPr>
          <w:p w14:paraId="5E945539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Поля, предназначенные под посев яровых зерновых культур</w:t>
            </w:r>
          </w:p>
        </w:tc>
        <w:tc>
          <w:tcPr>
            <w:tcW w:w="2416" w:type="dxa"/>
            <w:vAlign w:val="center"/>
          </w:tcPr>
          <w:p w14:paraId="7B9642C5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сорные растения</w:t>
            </w:r>
          </w:p>
        </w:tc>
        <w:tc>
          <w:tcPr>
            <w:tcW w:w="1978" w:type="dxa"/>
            <w:vMerge w:val="restart"/>
            <w:vAlign w:val="center"/>
          </w:tcPr>
          <w:p w14:paraId="4E8C8251" w14:textId="77777777" w:rsidR="007E6032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вегетирующих сорняков в конце лета или осенью в послеуборочный период. </w:t>
            </w:r>
          </w:p>
          <w:p w14:paraId="7F7035EA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100-200 л/га</w:t>
            </w:r>
          </w:p>
        </w:tc>
        <w:tc>
          <w:tcPr>
            <w:tcW w:w="1412" w:type="dxa"/>
            <w:vMerge w:val="restart"/>
            <w:vAlign w:val="center"/>
          </w:tcPr>
          <w:p w14:paraId="0ED13FB5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-(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7E6032" w:rsidRPr="00FE70D5" w14:paraId="332D08B5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0039CC48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2,0-3,0</w:t>
            </w:r>
          </w:p>
        </w:tc>
        <w:tc>
          <w:tcPr>
            <w:tcW w:w="2551" w:type="dxa"/>
            <w:vMerge/>
            <w:vAlign w:val="center"/>
          </w:tcPr>
          <w:p w14:paraId="445EA492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7DDC5AA4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Многолетние злаковые и двудольные сорные растения</w:t>
            </w:r>
          </w:p>
        </w:tc>
        <w:tc>
          <w:tcPr>
            <w:tcW w:w="1978" w:type="dxa"/>
            <w:vMerge/>
            <w:vAlign w:val="center"/>
          </w:tcPr>
          <w:p w14:paraId="098E397F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3040709D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E6032" w:rsidRPr="00FE70D5" w14:paraId="4F2B0F29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61B3E124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3,0-3,5</w:t>
            </w:r>
          </w:p>
        </w:tc>
        <w:tc>
          <w:tcPr>
            <w:tcW w:w="2551" w:type="dxa"/>
            <w:vMerge/>
            <w:vAlign w:val="center"/>
          </w:tcPr>
          <w:p w14:paraId="4CD116AB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0C5F69E1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Злостные многолетние сорные растения (свинорой, вьюнок 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полевой, бодяк полевой и другие корнео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прысковые)</w:t>
            </w:r>
          </w:p>
        </w:tc>
        <w:tc>
          <w:tcPr>
            <w:tcW w:w="1978" w:type="dxa"/>
            <w:vAlign w:val="center"/>
          </w:tcPr>
          <w:p w14:paraId="436D825A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Опрыскивание вегетирующих сорняков в конце лета или 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осенью в послеуборочный период.</w:t>
            </w:r>
          </w:p>
          <w:p w14:paraId="5B2E9794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100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 л/га</w:t>
            </w:r>
          </w:p>
        </w:tc>
        <w:tc>
          <w:tcPr>
            <w:tcW w:w="1412" w:type="dxa"/>
            <w:vMerge/>
            <w:vAlign w:val="center"/>
          </w:tcPr>
          <w:p w14:paraId="2579DD49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E6032" w:rsidRPr="00FE70D5" w14:paraId="22045456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41F18956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1,0-2,0</w:t>
            </w:r>
          </w:p>
        </w:tc>
        <w:tc>
          <w:tcPr>
            <w:tcW w:w="2551" w:type="dxa"/>
            <w:vMerge w:val="restart"/>
            <w:vAlign w:val="center"/>
          </w:tcPr>
          <w:p w14:paraId="6A2E823B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Пары</w:t>
            </w:r>
          </w:p>
        </w:tc>
        <w:tc>
          <w:tcPr>
            <w:tcW w:w="2416" w:type="dxa"/>
            <w:vAlign w:val="center"/>
          </w:tcPr>
          <w:p w14:paraId="1546F10C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сорные растения</w:t>
            </w:r>
          </w:p>
        </w:tc>
        <w:tc>
          <w:tcPr>
            <w:tcW w:w="1978" w:type="dxa"/>
            <w:vMerge w:val="restart"/>
            <w:vAlign w:val="center"/>
          </w:tcPr>
          <w:p w14:paraId="5D9A0424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вегетирующих сорных растений в период их активного роста.</w:t>
            </w:r>
          </w:p>
          <w:p w14:paraId="789DCE6A" w14:textId="77777777" w:rsidR="007E6032" w:rsidRPr="00FE70D5" w:rsidRDefault="007E6032" w:rsidP="009D4AD6">
            <w:pPr>
              <w:tabs>
                <w:tab w:val="left" w:pos="1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рабочей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жидкости - 100-200 л/га</w:t>
            </w:r>
          </w:p>
        </w:tc>
        <w:tc>
          <w:tcPr>
            <w:tcW w:w="1412" w:type="dxa"/>
            <w:vMerge/>
            <w:vAlign w:val="center"/>
          </w:tcPr>
          <w:p w14:paraId="5904A394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E6032" w:rsidRPr="00FE70D5" w14:paraId="6926A20B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1B242C7A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2,0-3,0</w:t>
            </w:r>
          </w:p>
        </w:tc>
        <w:tc>
          <w:tcPr>
            <w:tcW w:w="2551" w:type="dxa"/>
            <w:vMerge/>
            <w:vAlign w:val="center"/>
          </w:tcPr>
          <w:p w14:paraId="55CB17DD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6B5F676D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Многолетние злаковые и двудольные сорные растения</w:t>
            </w:r>
          </w:p>
        </w:tc>
        <w:tc>
          <w:tcPr>
            <w:tcW w:w="1978" w:type="dxa"/>
            <w:vMerge/>
            <w:vAlign w:val="center"/>
          </w:tcPr>
          <w:p w14:paraId="460FC140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65758971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E6032" w:rsidRPr="00FE70D5" w14:paraId="00220D11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0A2372B7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3,0-3,5</w:t>
            </w:r>
          </w:p>
        </w:tc>
        <w:tc>
          <w:tcPr>
            <w:tcW w:w="2551" w:type="dxa"/>
            <w:vMerge/>
            <w:vAlign w:val="center"/>
          </w:tcPr>
          <w:p w14:paraId="0CF48D7B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1CE4679A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Злостные многолетние сорные растения (свинорой, вьюнок полевой, бодяк полевой и другие корнеотпрысковые)</w:t>
            </w:r>
          </w:p>
        </w:tc>
        <w:tc>
          <w:tcPr>
            <w:tcW w:w="1978" w:type="dxa"/>
            <w:vMerge/>
            <w:vAlign w:val="center"/>
          </w:tcPr>
          <w:p w14:paraId="0167301A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6EAD0EEA" w14:textId="77777777" w:rsidR="007E6032" w:rsidRPr="00FE70D5" w:rsidRDefault="007E6032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E6032" w:rsidRPr="00600698" w14:paraId="3F969639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355BECF7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1,5-3,0</w:t>
            </w:r>
          </w:p>
        </w:tc>
        <w:tc>
          <w:tcPr>
            <w:tcW w:w="2551" w:type="dxa"/>
            <w:vMerge w:val="restart"/>
            <w:vAlign w:val="center"/>
          </w:tcPr>
          <w:p w14:paraId="229E8485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Земли несельскохозяйственного назначения (охранные зоны линий электропередач и просеки, трассы газо-и нефтепроводов, насыпи и полосы отчуждения железных и шоссейных дорог, аэродромы, промышленные территории)</w:t>
            </w:r>
          </w:p>
        </w:tc>
        <w:tc>
          <w:tcPr>
            <w:tcW w:w="2416" w:type="dxa"/>
            <w:vAlign w:val="center"/>
          </w:tcPr>
          <w:p w14:paraId="364E9A70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виды нежелательных травянистых растений (за исключением относительно устойчивых </w:t>
            </w:r>
            <w:proofErr w:type="spellStart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вейника</w:t>
            </w:r>
            <w:proofErr w:type="spellEnd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тростника), лиственные древесно-кустарниковые породы (осина, береза, ольха)</w:t>
            </w:r>
          </w:p>
        </w:tc>
        <w:tc>
          <w:tcPr>
            <w:tcW w:w="1978" w:type="dxa"/>
            <w:vMerge w:val="restart"/>
            <w:vAlign w:val="center"/>
          </w:tcPr>
          <w:p w14:paraId="00879667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вегетирующей нежелательной растительности.</w:t>
            </w:r>
          </w:p>
          <w:p w14:paraId="6CA1AD7B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возможного пребывания людей на обработанных территориях не ранее 15 дней после обработки. Сбор дикорастущих грибов и ягод в сезон обработок не допускается.</w:t>
            </w:r>
          </w:p>
          <w:p w14:paraId="11892D24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100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 л/га</w:t>
            </w:r>
          </w:p>
        </w:tc>
        <w:tc>
          <w:tcPr>
            <w:tcW w:w="1412" w:type="dxa"/>
            <w:vMerge/>
            <w:vAlign w:val="center"/>
          </w:tcPr>
          <w:p w14:paraId="56957AD8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E6032" w:rsidRPr="00600698" w14:paraId="72DAD242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0F0DD5D0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3,0-4,0</w:t>
            </w:r>
          </w:p>
        </w:tc>
        <w:tc>
          <w:tcPr>
            <w:tcW w:w="2551" w:type="dxa"/>
            <w:vMerge/>
            <w:vAlign w:val="center"/>
          </w:tcPr>
          <w:p w14:paraId="20D03C85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6FAE7761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Относительно устойчивые нежелательные травянистые растения (</w:t>
            </w:r>
            <w:proofErr w:type="spellStart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вейник</w:t>
            </w:r>
            <w:proofErr w:type="spellEnd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, тростник), лиственные древесно-кустарниковые 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породы (ива, клен, ясень, вяз, акация)</w:t>
            </w:r>
          </w:p>
        </w:tc>
        <w:tc>
          <w:tcPr>
            <w:tcW w:w="1978" w:type="dxa"/>
            <w:vMerge/>
            <w:vAlign w:val="center"/>
          </w:tcPr>
          <w:p w14:paraId="1326C5DE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5181926A" w14:textId="77777777" w:rsidR="007E6032" w:rsidRPr="00600698" w:rsidRDefault="007E6032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FC12171" w14:textId="77777777" w:rsidR="007E6032" w:rsidRPr="001B255B" w:rsidRDefault="007E6032" w:rsidP="007E603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1B255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Срок ожидания не регламентируется.</w:t>
      </w:r>
    </w:p>
    <w:p w14:paraId="2EA24E3C" w14:textId="67CDFCBD" w:rsidR="00714554" w:rsidRPr="001B255B" w:rsidRDefault="007E6032" w:rsidP="007E603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1B255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случае производственной необходимости проведения механизированных работ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B255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на обработанных участках срок безопасного выхода людей на эти площади - не ранее 7 дней после обработки.</w:t>
      </w:r>
    </w:p>
    <w:bookmarkEnd w:id="189"/>
    <w:p w14:paraId="3AADC0DB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4. Вид и механизм действия на вредные организмы: </w:t>
      </w:r>
    </w:p>
    <w:p w14:paraId="2261553C" w14:textId="462B0B6E" w:rsidR="00714554" w:rsidRPr="00714554" w:rsidRDefault="00714554" w:rsidP="007145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Глифосат, действующее вещество препарата Кэйталин Экстра, ВДГ проникает в растения через надземные органы и хорошо передвигается по флоэме и ксилеме. Поглощение через корневую систему ограничено из-за сильной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сорбции почвой.</w:t>
      </w:r>
    </w:p>
    <w:p w14:paraId="0B0F9679" w14:textId="4311BB49" w:rsidR="00714554" w:rsidRPr="00714554" w:rsidRDefault="00714554" w:rsidP="007145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Механизм действия. Глифосат подавляет активность 5-енолпирувил-шикимат-3-фосфатсинтетазы в процессе биосинтеза ароматических кислот, необходимых для синтеза протеинов. В результате в зонах роста сорняков прекращается деление клеток, что приводит к отмиранию растений. Полная гибель сорняков наступает через 10-15 дней после обработки.</w:t>
      </w:r>
    </w:p>
    <w:p w14:paraId="37FBC677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5. Период защитного действия:</w:t>
      </w:r>
    </w:p>
    <w:p w14:paraId="43D10E74" w14:textId="5B812530" w:rsidR="00714554" w:rsidRPr="00714554" w:rsidRDefault="00714554" w:rsidP="007145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Кэйталин Экстра, ВДГ препятствует отрастанию многолетних сорных растений из корневищ или корневых отростков в течение всего вегетационного периода и более в зависимости от нормы расхода, но не подавляет семенное размножение. Защитное действие против однолетних сорняков сохраняется до появления новой волны проростков. В случае обработки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древесно-кустарниковой растительности длительность защитного действия распространяется на несколько лет.</w:t>
      </w:r>
    </w:p>
    <w:p w14:paraId="12E34F06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6. Селективность:</w:t>
      </w:r>
    </w:p>
    <w:p w14:paraId="4B9A3D6E" w14:textId="472A3699" w:rsidR="00714554" w:rsidRPr="00714554" w:rsidRDefault="00714554" w:rsidP="007145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Препарат Кэйталин Экстра, ВДГ не обладает селективностью по отношению к культурным растениям (более сильно действует на злаковые растения).</w:t>
      </w:r>
    </w:p>
    <w:p w14:paraId="0D6CFA1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7. Скорость воздействия:</w:t>
      </w:r>
    </w:p>
    <w:p w14:paraId="1CDEF86E" w14:textId="30177CA6" w:rsidR="00714554" w:rsidRPr="00714554" w:rsidRDefault="00714554" w:rsidP="007145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зависимости от активности роста сорняков и погодных условий в период обработки проявление действия гербицида Кэйталин Экстра, ВДГ отмечается через 10 и более дней. Признаки действия препарата - постепенное увядание, пожелтение, затем и побурение листьев растений.</w:t>
      </w:r>
    </w:p>
    <w:p w14:paraId="026FEDF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8. Совместимость с другими препаратами:</w:t>
      </w:r>
    </w:p>
    <w:p w14:paraId="2DB8929E" w14:textId="77777777" w:rsidR="00714554" w:rsidRPr="00714554" w:rsidRDefault="00714554" w:rsidP="007145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Кэйталин Экстра, ВДГ совместим с препаратами на основе 2,4-Д; </w:t>
      </w:r>
      <w:proofErr w:type="spellStart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Дикамбы</w:t>
      </w:r>
      <w:proofErr w:type="spellEnd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некоторыми другими гербицидами.</w:t>
      </w:r>
    </w:p>
    <w:p w14:paraId="560728F6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9. Фитотоксичность, толерантность культур:</w:t>
      </w:r>
    </w:p>
    <w:p w14:paraId="4CD2BA41" w14:textId="553815C3" w:rsidR="00714554" w:rsidRPr="00714554" w:rsidRDefault="00714554" w:rsidP="007145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Кэйталин Экстра, ВДГ - гербицид сплошного действия, уничтожающий практически все травянистые и некоторые древесные растения. Избирательность по отношению к культурным растениям достигается с помощью защитных экранов, препятствующих попаданию рабочего раствора препарата на растение, или в качестве защитного экрана выступает почва. Устойчивыми к </w:t>
      </w:r>
      <w:proofErr w:type="spellStart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Глифосату</w:t>
      </w:r>
      <w:proofErr w:type="spellEnd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являются ген-инженерные сорта сои и других культур.</w:t>
      </w:r>
    </w:p>
    <w:p w14:paraId="09F6001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10. Возможность возникновения резистентности:</w:t>
      </w:r>
    </w:p>
    <w:p w14:paraId="5BB5A0D0" w14:textId="5990DB99" w:rsidR="00714554" w:rsidRPr="00714554" w:rsidRDefault="00714554" w:rsidP="007145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По данным Международного обследования устойчивых к гербицидам сорняков (International Survey </w:t>
      </w:r>
      <w:proofErr w:type="spellStart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of</w:t>
      </w:r>
      <w:proofErr w:type="spellEnd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Herbicide</w:t>
      </w:r>
      <w:proofErr w:type="spellEnd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Resistant</w:t>
      </w:r>
      <w:proofErr w:type="spellEnd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Weeds</w:t>
      </w:r>
      <w:proofErr w:type="spellEnd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) на 2024 год известны 364 случаев формирования при длительном применении гербицида устойчивых к </w:t>
      </w:r>
      <w:proofErr w:type="spellStart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Глифосату</w:t>
      </w:r>
      <w:proofErr w:type="spellEnd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популяций сорняков: амарантовые, редька дикая, мелколепестник канадский, амброзия трехраздельная, амброзия полыннолистная, мятлик полевой, виды плевела, </w:t>
      </w:r>
      <w:proofErr w:type="spellStart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гумай</w:t>
      </w:r>
      <w:proofErr w:type="spellEnd"/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виды ежовника. Во избежание появления резистентности следует чередовать применение гербицидов 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различным механизмом действия и возделывать сельскохозяйственные культуры в севообороте.</w:t>
      </w:r>
    </w:p>
    <w:p w14:paraId="6352D8A1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11. Возможность варьирования культур в севообороте:</w:t>
      </w:r>
    </w:p>
    <w:p w14:paraId="430E276B" w14:textId="1322806C" w:rsidR="00714554" w:rsidRPr="00714554" w:rsidRDefault="00714554" w:rsidP="0071455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Действующее вещество Кэйталин Экстра, ВДГ - Глифосат сильно сорбируется почвой, не передвигается по профилю и практически не проникает в растение через корни. В силу этого он не представляет опасности для культур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севооборота.</w:t>
      </w:r>
    </w:p>
    <w:p w14:paraId="446C781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lastRenderedPageBreak/>
        <w:t>12. Результаты оценки биологической эффективности и безопасности в других странах:</w:t>
      </w:r>
    </w:p>
    <w:p w14:paraId="3C3EB7FF" w14:textId="77777777" w:rsidR="00714554" w:rsidRPr="00714554" w:rsidRDefault="00714554" w:rsidP="0071455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1455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других странах препарат Кэйталин Экстра, ВДГ не испытывался.</w:t>
      </w:r>
    </w:p>
    <w:p w14:paraId="0A756034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13.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 применения пестицида:</w:t>
      </w:r>
    </w:p>
    <w:p w14:paraId="53F861D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Рабочий раствор пестицида готовят непосредственно перед применением.</w:t>
      </w:r>
    </w:p>
    <w:p w14:paraId="7ACD47D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Обработку вегетирующих растений проводят путем опрыскивания, с использованием любых серийно выпускаемых опрыскивателей (ОПВ-2000, ОВС-2000, ОПС-2000 2ТМ «Виктория», ОПС-2000 4ТМ «Виктория», ОНС 600-1, ОНВ – 600, Жук Классик ОГ-112, CHAMPION SL 16, STIHL SG 51, </w:t>
      </w: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Caiman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PS25 FOG KING, </w:t>
      </w: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Caiman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PS15 STANDART, </w:t>
      </w: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Oleo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-Mac MB 80, </w:t>
      </w: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Maruyama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MD181DX, </w:t>
      </w: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Demarol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400, </w:t>
      </w: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Demarol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600, OSP1500/SAD TAJFUN, OSP 2000/SAD TAJFUN, UNIA SLEZA 1000, </w:t>
      </w: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Tecnoma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Vectis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RALL – 2000C, </w:t>
      </w: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Lusna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AGP 500 EN </w:t>
      </w:r>
      <w:proofErr w:type="spellStart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Agromehanika</w:t>
      </w:r>
      <w:proofErr w:type="spellEnd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</w:p>
    <w:p w14:paraId="304B11A6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приготовления рабочего раствора в бак поливочной системы или опрыскивателя наливают воду, примерно на 2/3 объема, при включенном перемешивающем устройстве добавляют необходимое количество пестицида, предварительно разведенного в воде, доливают воду до расчетного объема, раствор перемешивают и проводят обработки.</w:t>
      </w:r>
    </w:p>
    <w:p w14:paraId="4AF0ECD7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14. Биологическая эффективность:</w:t>
      </w:r>
    </w:p>
    <w:p w14:paraId="43C311A9" w14:textId="0308E70D" w:rsidR="00973E48" w:rsidRPr="00973E48" w:rsidRDefault="00973E48" w:rsidP="00973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Кэйталин Экстра, ВДГ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регистрант ООО «</w:t>
      </w:r>
      <w:proofErr w:type="spellStart"/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РегСервис</w:t>
      </w:r>
      <w:proofErr w:type="spellEnd"/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», был включен в «План регистрационных испытаний пестицидов и агрохимикатов на 2020-2025 гг.», дополнение № 42 от 29.09.2022 г. и проходил регистрационные испытания на биологическую эффективность и безопасность для культурных растений на парах; полях, предназначенных под посев яровых зерновых культур и землях несельскохозяйственного назначения в 2022 и 2023 годах в трех почвенно-климатических зонах РФ. По окончанию испытаний произошла смена регистранта и регистрантом стало ООО «</w:t>
      </w:r>
      <w:proofErr w:type="spellStart"/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Пролайн</w:t>
      </w:r>
      <w:proofErr w:type="spellEnd"/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 (изменения в «План регистрационных испытаний пестицидов и агрохимикатов на 2020-2025 гг.» № 19/647 от 02.02.2024 г.).</w:t>
      </w:r>
    </w:p>
    <w:p w14:paraId="2459A9E3" w14:textId="77F52FD8" w:rsidR="00973E48" w:rsidRPr="00973E48" w:rsidRDefault="00973E48" w:rsidP="00973E4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Автономная Некоммерческая Организация «Агрохимический инновационный центр развития сельскохозяйственной науки и производства» (АНО «АИЦ»), рассмотрев материалы ООО «</w:t>
      </w:r>
      <w:proofErr w:type="spellStart"/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Пролайн</w:t>
      </w:r>
      <w:proofErr w:type="spellEnd"/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», отчеты АНО «АИЦ» о положительных результатах испытаний препарата Кэйталин Экстра, ВДГ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лифосата кислоты (изопропиламинная соль) на парах; полях, предназначенных под посев яровых зерновых культур и землях несельскохозяйственного назначения, а также учитывая, что Глифосат, действующее вещество препарата Кэйталин Экстра, ВДГ, хорошо изучен, и эффективность препаратов на его основе подтверждена многолетним опытом применения на парах; полях, предназначенных под посев яровых зерновых культур; землях несельскохозяйственного назначения, а эффективность самого препарата на парах; полях, предназначенных под посев яровых зерновых культур; землях несельскохозяйственного назначения подтверждена результатами опытов 2022-2023 гг., считает, что дополнительных испытаний препарата Кэйталин Экстра, ВДГ в целях разработки биологических регламентов его применения не требуется, и рекомендует препарат Кэйталин Экстра, ВДГ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для регистрации сроком на 10 лет и применения на всей территории Российской Федерации в качестве гербицида на парах; полях,</w:t>
      </w:r>
      <w:r w:rsidRPr="00973E48">
        <w:rPr>
          <w:rFonts w:ascii="Times New Roman CYR" w:hAnsi="Times New Roman CYR" w:cs="Times New Roman CYR"/>
          <w:color w:val="323232"/>
          <w:kern w:val="0"/>
          <w:sz w:val="26"/>
          <w:szCs w:val="26"/>
        </w:rPr>
        <w:t xml:space="preserve"> 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предназначенных под посев яровых зерновых культур; землях несельскохозяйственного назначения против однолетних и многолетних сорных растений, а также против древесно-кустарниковой растительности по регламентам.</w:t>
      </w:r>
    </w:p>
    <w:p w14:paraId="3B9D76B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22E0D6F3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90" w:name="_Toc142312905"/>
      <w:bookmarkStart w:id="191" w:name="_Toc146806467"/>
      <w:bookmarkStart w:id="192" w:name="_Toc146806511"/>
      <w:bookmarkStart w:id="193" w:name="_Toc147327240"/>
      <w:bookmarkStart w:id="194" w:name="_Toc147327678"/>
      <w:bookmarkStart w:id="195" w:name="_Toc147930819"/>
      <w:bookmarkStart w:id="196" w:name="_Toc147930847"/>
      <w:bookmarkStart w:id="197" w:name="_Toc152336448"/>
      <w:bookmarkStart w:id="198" w:name="_Toc152336476"/>
      <w:bookmarkStart w:id="199" w:name="_Toc153455310"/>
      <w:bookmarkStart w:id="200" w:name="_Toc161226483"/>
      <w:bookmarkStart w:id="201" w:name="_Toc161226511"/>
      <w:bookmarkStart w:id="202" w:name="_Toc162516274"/>
      <w:bookmarkStart w:id="203" w:name="_Toc165976684"/>
      <w:bookmarkStart w:id="204" w:name="_Toc180068303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3.3. </w:t>
      </w:r>
      <w:r w:rsidRPr="00674A8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Физико-химические свойства действующего веществ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r w:rsidRPr="00674A8D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а</w:t>
      </w:r>
      <w:bookmarkEnd w:id="204"/>
    </w:p>
    <w:p w14:paraId="26A2FB26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Действующее вещество (по ISО, IUРАС, N САS)</w:t>
      </w:r>
    </w:p>
    <w:p w14:paraId="5589B69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ISO: 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глифосат кислота </w:t>
      </w:r>
    </w:p>
    <w:p w14:paraId="1F2EE49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IUPAC: 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N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-(</w:t>
      </w:r>
      <w:proofErr w:type="spellStart"/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фосфонометил</w:t>
      </w:r>
      <w:proofErr w:type="spellEnd"/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)глицин </w:t>
      </w:r>
    </w:p>
    <w:p w14:paraId="6504935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CAS №: 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1071-83-6</w:t>
      </w:r>
    </w:p>
    <w:p w14:paraId="7B94DDD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2. Структурная формула</w:t>
      </w:r>
    </w:p>
    <w:p w14:paraId="1910A47B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noProof/>
          <w:kern w:val="0"/>
          <w:sz w:val="28"/>
          <w:szCs w:val="28"/>
          <w:lang w:val="en-US"/>
        </w:rPr>
      </w:pPr>
      <w:r w:rsidRPr="00674A8D">
        <w:rPr>
          <w:rFonts w:ascii="Aptos" w:eastAsia="Aptos" w:hAnsi="Aptos" w:cs="Times New Roman"/>
          <w:noProof/>
        </w:rPr>
        <w:lastRenderedPageBreak/>
        <w:drawing>
          <wp:inline distT="0" distB="0" distL="0" distR="0" wp14:anchorId="4D38084C" wp14:editId="1B21F2ED">
            <wp:extent cx="2314575" cy="1495425"/>
            <wp:effectExtent l="0" t="0" r="9525" b="9525"/>
            <wp:docPr id="3" name="Рисунок 1" descr="Изображение выглядит как текст, Шрифт, белый, дизайн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текст, Шрифт, белый, дизайн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2CEE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3. Эмпирическая формула</w:t>
      </w:r>
    </w:p>
    <w:p w14:paraId="6B47A9E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C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3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H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8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NO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P</w:t>
      </w:r>
    </w:p>
    <w:p w14:paraId="374D57F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Молекулярная масса</w:t>
      </w:r>
    </w:p>
    <w:p w14:paraId="2D35356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169,1</w:t>
      </w:r>
    </w:p>
    <w:p w14:paraId="6D4E04C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Агрегатное состояние</w:t>
      </w:r>
    </w:p>
    <w:p w14:paraId="651B5DF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Кристаллическое вещество</w:t>
      </w:r>
    </w:p>
    <w:p w14:paraId="65F1257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Цвет, запах</w:t>
      </w:r>
    </w:p>
    <w:p w14:paraId="6F3865A1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Белый, без запаха</w:t>
      </w:r>
    </w:p>
    <w:p w14:paraId="619FD24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 Давление паров</w:t>
      </w:r>
    </w:p>
    <w:p w14:paraId="4B534403" w14:textId="28044038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1,94×10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-7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мм</w:t>
      </w:r>
      <w:r w:rsidR="00D837A6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рт.ст. при 45 °C </w:t>
      </w:r>
    </w:p>
    <w:p w14:paraId="54650CD7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Растворимость в воде</w:t>
      </w:r>
    </w:p>
    <w:p w14:paraId="43AA8792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11,6 г/л при 25°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</w:p>
    <w:p w14:paraId="001FC25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Растворимость в органических растворителях</w:t>
      </w:r>
    </w:p>
    <w:p w14:paraId="5D70007D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Не растворим в ацетоне, бензине, этаноле </w:t>
      </w:r>
    </w:p>
    <w:p w14:paraId="2CCF96AD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Коэффициент распределения n-октанол/вода</w:t>
      </w:r>
    </w:p>
    <w:p w14:paraId="32D435D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log</w:t>
      </w:r>
      <w:proofErr w:type="spellEnd"/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K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OW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&lt; -3,2 при 25°С </w:t>
      </w:r>
    </w:p>
    <w:p w14:paraId="1222BF3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K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OW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 &lt; 6 × 10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-4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A0E84B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плавления</w:t>
      </w:r>
    </w:p>
    <w:p w14:paraId="7A060AE3" w14:textId="1BFF929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189,5°С±0,5°С </w:t>
      </w:r>
    </w:p>
    <w:p w14:paraId="54DC9F5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кипения и замерзания</w:t>
      </w:r>
    </w:p>
    <w:p w14:paraId="2ED90C8B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Выше 189,5°С разлагается; при нормальных условиях - кристаллическое вещество</w:t>
      </w:r>
    </w:p>
    <w:p w14:paraId="57C2FEB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Температура вспышки и воспламенения</w:t>
      </w:r>
    </w:p>
    <w:p w14:paraId="6EB2CAF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горюч</w:t>
      </w:r>
    </w:p>
    <w:p w14:paraId="5C210B58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 Стабильность в водных растворах (рН 3-5-7-10)</w:t>
      </w:r>
    </w:p>
    <w:p w14:paraId="7ABD0FF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Не наблюдалось гидролиза, в том числе, при низких концентрациях (менее 1 мг/л) в стерильных буферных растворах при рН = 3, 6 и 9 и температуре от 5°С до 35°С в течение более 30 дней</w:t>
      </w:r>
    </w:p>
    <w:p w14:paraId="421BB27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15. Плотность</w:t>
      </w:r>
    </w:p>
    <w:p w14:paraId="3B9A000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D = 1,0170 г/см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</w:p>
    <w:p w14:paraId="1E00F2D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25715FE7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05" w:name="_Toc531875968"/>
      <w:bookmarkStart w:id="206" w:name="_Toc535397787"/>
      <w:bookmarkStart w:id="207" w:name="_Toc536568097"/>
      <w:bookmarkStart w:id="208" w:name="_Toc2704419"/>
      <w:bookmarkStart w:id="209" w:name="_Toc2799326"/>
      <w:bookmarkStart w:id="210" w:name="_Toc12876747"/>
      <w:bookmarkStart w:id="211" w:name="_Toc17124481"/>
      <w:bookmarkStart w:id="212" w:name="_Toc18431113"/>
      <w:bookmarkStart w:id="213" w:name="_Toc22724619"/>
      <w:bookmarkStart w:id="214" w:name="_Toc35815182"/>
      <w:bookmarkStart w:id="215" w:name="_Toc36485662"/>
      <w:bookmarkStart w:id="216" w:name="_Toc36572765"/>
      <w:bookmarkStart w:id="217" w:name="_Toc36658126"/>
      <w:bookmarkStart w:id="218" w:name="_Toc36728358"/>
      <w:bookmarkStart w:id="219" w:name="_Toc37066561"/>
      <w:bookmarkStart w:id="220" w:name="_Toc46701769"/>
      <w:bookmarkStart w:id="221" w:name="_Toc69293866"/>
      <w:bookmarkStart w:id="222" w:name="_Toc71899530"/>
      <w:bookmarkStart w:id="223" w:name="_Toc72333449"/>
      <w:bookmarkStart w:id="224" w:name="_Toc84337338"/>
      <w:bookmarkStart w:id="225" w:name="_Toc85550153"/>
      <w:bookmarkStart w:id="226" w:name="_Toc86323501"/>
      <w:bookmarkStart w:id="227" w:name="_Toc88058486"/>
      <w:bookmarkStart w:id="228" w:name="_Toc89175750"/>
      <w:bookmarkStart w:id="229" w:name="_Toc89261503"/>
      <w:bookmarkStart w:id="230" w:name="_Toc89781486"/>
      <w:bookmarkStart w:id="231" w:name="_Toc90308084"/>
      <w:bookmarkStart w:id="232" w:name="_Toc92881579"/>
      <w:bookmarkStart w:id="233" w:name="_Toc94012121"/>
      <w:bookmarkStart w:id="234" w:name="_Toc98316361"/>
      <w:bookmarkStart w:id="235" w:name="_Toc100072085"/>
      <w:bookmarkStart w:id="236" w:name="_Toc109750141"/>
      <w:bookmarkStart w:id="237" w:name="_Toc117523604"/>
      <w:bookmarkStart w:id="238" w:name="_Toc117779308"/>
      <w:bookmarkStart w:id="239" w:name="_Toc119331986"/>
      <w:bookmarkStart w:id="240" w:name="_Toc121483997"/>
      <w:bookmarkStart w:id="241" w:name="_Toc124780548"/>
      <w:bookmarkStart w:id="242" w:name="_Toc124846619"/>
      <w:bookmarkStart w:id="243" w:name="_Toc125368934"/>
      <w:bookmarkStart w:id="244" w:name="_Toc125375395"/>
      <w:bookmarkStart w:id="245" w:name="_Toc126836545"/>
      <w:bookmarkStart w:id="246" w:name="_Toc126938654"/>
      <w:bookmarkStart w:id="247" w:name="_Toc127180962"/>
      <w:bookmarkStart w:id="248" w:name="_Toc127188601"/>
      <w:bookmarkStart w:id="249" w:name="_Toc127201578"/>
      <w:bookmarkStart w:id="250" w:name="_Toc133315929"/>
      <w:bookmarkStart w:id="251" w:name="_Toc135160828"/>
      <w:bookmarkStart w:id="252" w:name="_Toc135216950"/>
      <w:bookmarkStart w:id="253" w:name="_Toc138952557"/>
      <w:bookmarkStart w:id="254" w:name="_Toc142312906"/>
      <w:bookmarkStart w:id="255" w:name="_Toc146806468"/>
      <w:bookmarkStart w:id="256" w:name="_Toc146806512"/>
      <w:bookmarkStart w:id="257" w:name="_Toc147327241"/>
      <w:bookmarkStart w:id="258" w:name="_Toc147327679"/>
      <w:bookmarkStart w:id="259" w:name="_Toc147930820"/>
      <w:bookmarkStart w:id="260" w:name="_Toc147930848"/>
      <w:bookmarkStart w:id="261" w:name="_Toc152336449"/>
      <w:bookmarkStart w:id="262" w:name="_Toc152336477"/>
      <w:bookmarkStart w:id="263" w:name="_Toc153455311"/>
      <w:bookmarkStart w:id="264" w:name="_Toc161226484"/>
      <w:bookmarkStart w:id="265" w:name="_Toc161226512"/>
      <w:bookmarkStart w:id="266" w:name="_Toc162516275"/>
      <w:bookmarkStart w:id="267" w:name="_Toc165976685"/>
      <w:bookmarkStart w:id="268" w:name="_Toc180068304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3.4. Физико-химические свойства технического продукта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0978D812" w14:textId="77777777" w:rsidR="00674A8D" w:rsidRP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</w:pPr>
      <w:bookmarkStart w:id="269" w:name="_Toc142312907"/>
      <w:bookmarkStart w:id="270" w:name="_Toc146806469"/>
      <w:bookmarkStart w:id="271" w:name="_Toc146806513"/>
      <w:bookmarkStart w:id="272" w:name="_Toc147327242"/>
      <w:bookmarkStart w:id="273" w:name="_Toc147327680"/>
      <w:bookmarkStart w:id="274" w:name="_Toc147930821"/>
      <w:bookmarkStart w:id="275" w:name="_Toc147930849"/>
      <w:bookmarkStart w:id="276" w:name="_Toc152336450"/>
      <w:bookmarkStart w:id="277" w:name="_Toc152336478"/>
      <w:bookmarkStart w:id="278" w:name="_Toc153455312"/>
      <w:bookmarkStart w:id="279" w:name="_Toc161226485"/>
      <w:bookmarkStart w:id="280" w:name="_Toc161226513"/>
      <w:bookmarkStart w:id="281" w:name="_Toc162516276"/>
      <w:bookmarkStart w:id="282" w:name="_Toc165976686"/>
      <w:r w:rsidRPr="00674A8D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1. Чистота технического продукта, качественный и количественный состав примесей</w:t>
      </w:r>
    </w:p>
    <w:p w14:paraId="7C05D206" w14:textId="77777777" w:rsidR="00674A8D" w:rsidRP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trike/>
          <w:kern w:val="0"/>
          <w:sz w:val="28"/>
          <w:szCs w:val="28"/>
          <w:lang w:eastAsia="ar-SA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Чистота технического продукта - не менее 96%. </w:t>
      </w:r>
    </w:p>
    <w:p w14:paraId="065725D2" w14:textId="77777777" w:rsidR="00674A8D" w:rsidRP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 w:eastAsia="ru-RU"/>
        </w:rPr>
      </w:pPr>
      <w:r w:rsidRPr="00674A8D">
        <w:rPr>
          <w:rFonts w:ascii="Times New Roman" w:eastAsia="Courier New" w:hAnsi="Times New Roman" w:cs="Courier New"/>
          <w:b/>
          <w:i/>
          <w:iCs/>
          <w:sz w:val="28"/>
          <w:szCs w:val="28"/>
          <w:lang w:val="x-none"/>
        </w:rPr>
        <w:t>2. Агрегатное состояние</w:t>
      </w:r>
    </w:p>
    <w:p w14:paraId="530744B1" w14:textId="0A8FA4AC" w:rsidR="006B59FC" w:rsidRPr="006B59FC" w:rsidRDefault="006B59FC" w:rsidP="006B59FC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</w:t>
      </w:r>
      <w:r w:rsidRPr="006B59FC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вёрдое кристаллическое вещес</w:t>
      </w: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тво</w:t>
      </w:r>
    </w:p>
    <w:p w14:paraId="755D50F9" w14:textId="77777777" w:rsidR="00674A8D" w:rsidRP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3. Цвет, запах</w:t>
      </w:r>
    </w:p>
    <w:p w14:paraId="17F864B5" w14:textId="77777777" w:rsidR="00674A8D" w:rsidRP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Белый, без запаха. Допускаются различные оттенки белого цвета</w:t>
      </w:r>
    </w:p>
    <w:p w14:paraId="2F3C3E29" w14:textId="77777777" w:rsidR="00674A8D" w:rsidRP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4. Температура плавления</w:t>
      </w:r>
    </w:p>
    <w:p w14:paraId="35296C88" w14:textId="77777777" w:rsidR="00674A8D" w:rsidRP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Разлагается при 200°С</w:t>
      </w:r>
    </w:p>
    <w:p w14:paraId="11357BBF" w14:textId="77777777" w:rsidR="00674A8D" w:rsidRP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5. Температура вспышки и воспламенения</w:t>
      </w:r>
    </w:p>
    <w:p w14:paraId="4BD8F5CC" w14:textId="77777777" w:rsid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Нет данных</w:t>
      </w:r>
    </w:p>
    <w:p w14:paraId="639C99D7" w14:textId="531EE4E1" w:rsidR="006B59FC" w:rsidRPr="006B59FC" w:rsidRDefault="006B59FC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</w:pPr>
      <w:r w:rsidRPr="006B59FC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 xml:space="preserve">6. </w:t>
      </w:r>
      <w:proofErr w:type="spellStart"/>
      <w:r w:rsidRPr="006B59FC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Взрыво</w:t>
      </w:r>
      <w:proofErr w:type="spellEnd"/>
      <w:r w:rsidRPr="006B59FC">
        <w:rPr>
          <w:rFonts w:ascii="Times New Roman" w:eastAsia="Lucida Sans Unicode" w:hAnsi="Times New Roman" w:cs="Times New Roman"/>
          <w:b/>
          <w:bCs/>
          <w:i/>
          <w:iCs/>
          <w:color w:val="000000"/>
          <w:sz w:val="28"/>
          <w:szCs w:val="28"/>
          <w:lang w:eastAsia="ru-RU"/>
          <w14:ligatures w14:val="none"/>
        </w:rPr>
        <w:t>- и пожароопасность</w:t>
      </w:r>
    </w:p>
    <w:p w14:paraId="275268D1" w14:textId="30C2C940" w:rsidR="006B59FC" w:rsidRDefault="006B59FC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Не горюч, не взрывоопасен</w:t>
      </w:r>
    </w:p>
    <w:p w14:paraId="5D5A81C7" w14:textId="38525B4E" w:rsidR="00674A8D" w:rsidRPr="00674A8D" w:rsidRDefault="006B59FC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7</w:t>
      </w:r>
      <w:r w:rsidR="00674A8D" w:rsidRPr="00674A8D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. Плотность</w:t>
      </w:r>
      <w:r w:rsidR="00674A8D" w:rsidRPr="00674A8D">
        <w:rPr>
          <w:rFonts w:ascii="Times New Roman CYR" w:eastAsia="Aptos" w:hAnsi="Times New Roman CYR" w:cs="Times New Roman CYR"/>
          <w:color w:val="272726"/>
          <w:kern w:val="0"/>
          <w:sz w:val="24"/>
          <w:szCs w:val="24"/>
        </w:rPr>
        <w:t xml:space="preserve"> </w:t>
      </w:r>
      <w:r w:rsidR="00674A8D" w:rsidRPr="00674A8D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(в случае газообразного состояния вещества, плотность указать при t - 0ºC и 760 мм. рт. ст.) </w:t>
      </w:r>
    </w:p>
    <w:p w14:paraId="743193FE" w14:textId="77777777" w:rsidR="00674A8D" w:rsidRP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Cs/>
          <w:color w:val="00000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Lucida Sans Unicode" w:hAnsi="Times New Roman" w:cs="Times New Roman"/>
          <w:bCs/>
          <w:color w:val="000000"/>
          <w:sz w:val="28"/>
          <w:szCs w:val="28"/>
          <w:lang w:eastAsia="ru-RU"/>
          <w14:ligatures w14:val="none"/>
        </w:rPr>
        <w:t>1,705 г/см</w:t>
      </w:r>
      <w:r w:rsidRPr="00674A8D">
        <w:rPr>
          <w:rFonts w:ascii="Times New Roman" w:eastAsia="Lucida Sans Unicode" w:hAnsi="Times New Roman" w:cs="Times New Roman"/>
          <w:bCs/>
          <w:color w:val="000000"/>
          <w:sz w:val="28"/>
          <w:szCs w:val="28"/>
          <w:vertAlign w:val="superscript"/>
          <w:lang w:eastAsia="ru-RU"/>
          <w14:ligatures w14:val="none"/>
        </w:rPr>
        <w:t>3</w:t>
      </w:r>
      <w:r w:rsidRPr="00674A8D">
        <w:rPr>
          <w:rFonts w:ascii="Times New Roman" w:eastAsia="Lucida Sans Unicode" w:hAnsi="Times New Roman" w:cs="Times New Roman"/>
          <w:bCs/>
          <w:color w:val="000000"/>
          <w:sz w:val="28"/>
          <w:szCs w:val="28"/>
          <w:lang w:eastAsia="ru-RU"/>
          <w14:ligatures w14:val="none"/>
        </w:rPr>
        <w:t xml:space="preserve"> при 20°С</w:t>
      </w:r>
    </w:p>
    <w:p w14:paraId="2D077C46" w14:textId="7ECB8DA0" w:rsidR="00674A8D" w:rsidRPr="00674A8D" w:rsidRDefault="006B59FC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8</w:t>
      </w:r>
      <w:r w:rsidR="00674A8D" w:rsidRPr="00674A8D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 xml:space="preserve">. </w:t>
      </w:r>
      <w:proofErr w:type="spellStart"/>
      <w:r w:rsidR="00674A8D" w:rsidRPr="00674A8D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Термо</w:t>
      </w:r>
      <w:proofErr w:type="spellEnd"/>
      <w:r w:rsidR="00674A8D" w:rsidRPr="00674A8D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- и фотостабильность</w:t>
      </w:r>
    </w:p>
    <w:p w14:paraId="13374CCB" w14:textId="77777777" w:rsidR="00674A8D" w:rsidRP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Не самовоспламеняется, фотостабилен</w:t>
      </w:r>
    </w:p>
    <w:p w14:paraId="4B89C689" w14:textId="7AF101E2" w:rsidR="00674A8D" w:rsidRPr="00674A8D" w:rsidRDefault="006B59FC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</w:pPr>
      <w:r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9</w:t>
      </w:r>
      <w:r w:rsidR="00674A8D" w:rsidRPr="00674A8D">
        <w:rPr>
          <w:rFonts w:ascii="Times New Roman" w:eastAsia="Lucida Sans Unicode" w:hAnsi="Times New Roman" w:cs="Times New Roman"/>
          <w:b/>
          <w:i/>
          <w:iCs/>
          <w:color w:val="000000"/>
          <w:sz w:val="28"/>
          <w:szCs w:val="28"/>
          <w:lang w:eastAsia="ru-RU"/>
          <w14:ligatures w14:val="none"/>
        </w:rPr>
        <w:t>. Аналитический метод определения чистоты технического продукта, методы определения изомеров, токсичных (опасных) примесей и т.п.</w:t>
      </w:r>
    </w:p>
    <w:p w14:paraId="7F9257D9" w14:textId="47A1EF26" w:rsidR="00674A8D" w:rsidRPr="00674A8D" w:rsidRDefault="00674A8D" w:rsidP="00674A8D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Lucida Sans Unicode" w:hAnsi="Times New Roman" w:cs="Times New Roman"/>
          <w:color w:val="000000"/>
          <w:sz w:val="28"/>
          <w:szCs w:val="28"/>
          <w:lang w:eastAsia="ru-RU"/>
          <w14:ligatures w14:val="none"/>
        </w:rPr>
        <w:t>ВЭЖХ</w:t>
      </w:r>
    </w:p>
    <w:p w14:paraId="2C41171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5820BA54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283" w:name="_Toc180068305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3.5. Физико-химические свойства препаративной формы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7A991FF3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1. Агрегатное состояние</w:t>
      </w:r>
    </w:p>
    <w:p w14:paraId="5EF0C29B" w14:textId="71D9DF03" w:rsidR="006B59FC" w:rsidRPr="006B59FC" w:rsidRDefault="006B59FC" w:rsidP="006B59FC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Т</w:t>
      </w:r>
      <w:r w:rsidRPr="006B59F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вердое вещество, гранулы</w:t>
      </w:r>
    </w:p>
    <w:p w14:paraId="3E3EF836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2. Цвет, запах</w:t>
      </w:r>
    </w:p>
    <w:p w14:paraId="09AF3061" w14:textId="0B011709" w:rsidR="006B59FC" w:rsidRPr="006B59FC" w:rsidRDefault="006B59FC" w:rsidP="006B59FC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Б</w:t>
      </w:r>
      <w:r w:rsidRPr="006B59F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елый, без запаха</w:t>
      </w:r>
    </w:p>
    <w:p w14:paraId="708490A2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val="x-none"/>
          <w14:ligatures w14:val="none"/>
        </w:rPr>
        <w:t>3. Стабильность водной эмульсии или суспензии</w:t>
      </w:r>
    </w:p>
    <w:p w14:paraId="22BEDB15" w14:textId="0E4000C9" w:rsidR="006B59FC" w:rsidRPr="006B59FC" w:rsidRDefault="006B59FC" w:rsidP="006B59F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</w:t>
      </w:r>
      <w:r w:rsidRPr="006B59F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табильность 1%-ной (по препарату) водной суспензии по сухому веществу не менее 70% </w:t>
      </w:r>
    </w:p>
    <w:p w14:paraId="239A87AA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4. рН</w:t>
      </w:r>
    </w:p>
    <w:p w14:paraId="461158B0" w14:textId="77777777" w:rsidR="006B59FC" w:rsidRPr="006B59FC" w:rsidRDefault="006B59FC" w:rsidP="006B59FC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B59F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pH 3,0-8,0</w:t>
      </w:r>
    </w:p>
    <w:p w14:paraId="67DD2DBB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5. Содержание влаги (%)</w:t>
      </w:r>
    </w:p>
    <w:p w14:paraId="0C2DCEC0" w14:textId="4C039E01" w:rsidR="006B59FC" w:rsidRPr="006B59FC" w:rsidRDefault="006B59FC" w:rsidP="006B59FC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6B59F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более 2,0%</w:t>
      </w:r>
    </w:p>
    <w:p w14:paraId="77856CFD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6. Вязкость</w:t>
      </w:r>
    </w:p>
    <w:p w14:paraId="0FEE2468" w14:textId="522CC8B4" w:rsidR="006B59FC" w:rsidRPr="006B59FC" w:rsidRDefault="006B59FC" w:rsidP="006B59FC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</w:t>
      </w:r>
      <w:r w:rsidRPr="006B59F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е требуется, так как препарат находится в твёрдом агрегатном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B59F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состоянии</w:t>
      </w:r>
    </w:p>
    <w:p w14:paraId="79456735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7. Дисперсность</w:t>
      </w:r>
    </w:p>
    <w:p w14:paraId="09565225" w14:textId="1CAE79D4" w:rsidR="006B59FC" w:rsidRPr="006B59FC" w:rsidRDefault="006B59FC" w:rsidP="006B59FC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</w:t>
      </w:r>
      <w:r w:rsidRPr="006B59F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ассовая доля препарата с размером частиц 0,1-1,0 мм не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6B59F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менее 90%</w:t>
      </w:r>
    </w:p>
    <w:p w14:paraId="5AFA66F9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8. Плотность</w:t>
      </w:r>
    </w:p>
    <w:p w14:paraId="14BA0585" w14:textId="5AFCE314" w:rsidR="006B59FC" w:rsidRPr="006B59FC" w:rsidRDefault="006B59FC" w:rsidP="006B59FC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B59F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1350-1410 кг/м</w:t>
      </w:r>
      <w:r w:rsidRPr="006B59FC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14:ligatures w14:val="none"/>
        </w:rPr>
        <w:t>3</w:t>
      </w:r>
      <w:r w:rsidRPr="006B59F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(20°С)</w:t>
      </w:r>
    </w:p>
    <w:p w14:paraId="53D49486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9. Размер частиц (порошок, гранулы и т.п.)</w:t>
      </w:r>
    </w:p>
    <w:p w14:paraId="2EBD5002" w14:textId="4B29C50F" w:rsidR="00AF287D" w:rsidRPr="00AF287D" w:rsidRDefault="00AF287D" w:rsidP="00AF287D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Г</w:t>
      </w:r>
      <w:r w:rsidRPr="00AF287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ранулы (пеллеты) </w:t>
      </w:r>
    </w:p>
    <w:p w14:paraId="089D29BC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10. Смачиваемость</w:t>
      </w:r>
    </w:p>
    <w:p w14:paraId="1056BC16" w14:textId="37DF400A" w:rsidR="00674A8D" w:rsidRPr="00674A8D" w:rsidRDefault="00AF287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Полная</w:t>
      </w:r>
    </w:p>
    <w:p w14:paraId="6A7A409A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11. Температура вспышки</w:t>
      </w:r>
    </w:p>
    <w:p w14:paraId="6F0D3F04" w14:textId="1C1F48CF" w:rsidR="00674A8D" w:rsidRPr="00674A8D" w:rsidRDefault="00AF287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горюч</w:t>
      </w:r>
    </w:p>
    <w:p w14:paraId="6A376BF2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12. Температура кристаллизации, морозостойкость</w:t>
      </w:r>
    </w:p>
    <w:p w14:paraId="6B35078A" w14:textId="5122667E" w:rsidR="00674A8D" w:rsidRPr="00674A8D" w:rsidRDefault="00AF287D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требуется</w:t>
      </w:r>
    </w:p>
    <w:p w14:paraId="6C6F3729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13. Летучесть</w:t>
      </w:r>
    </w:p>
    <w:p w14:paraId="01A40DD2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летуч</w:t>
      </w:r>
    </w:p>
    <w:p w14:paraId="0DB2D063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14. Данные по слеживаемости</w:t>
      </w:r>
    </w:p>
    <w:p w14:paraId="1FF1280E" w14:textId="38B17681" w:rsidR="00674A8D" w:rsidRPr="00674A8D" w:rsidRDefault="00AF287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Не слеживается при рекомендуемых условиях хранения</w:t>
      </w:r>
    </w:p>
    <w:p w14:paraId="019A6802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lastRenderedPageBreak/>
        <w:t>15. Коррозионные свойства</w:t>
      </w:r>
    </w:p>
    <w:p w14:paraId="1B94D86D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не вызывает коррозии материалов технологического оборудования и тары</w:t>
      </w:r>
    </w:p>
    <w:p w14:paraId="383F9891" w14:textId="77777777" w:rsidR="00674A8D" w:rsidRPr="00674A8D" w:rsidRDefault="00674A8D" w:rsidP="00674A8D">
      <w:pPr>
        <w:spacing w:after="0" w:line="360" w:lineRule="auto"/>
        <w:ind w:firstLine="567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16. Стабильность при хранении</w:t>
      </w:r>
    </w:p>
    <w:p w14:paraId="7ACCBA87" w14:textId="2CBBCAC4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может храниться без изменения своих физико-химических свойств в течение 5-ти лет при температуре от </w:t>
      </w:r>
      <w:r w:rsidR="00AF287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-30º</w:t>
      </w:r>
      <w:r w:rsidR="00AF287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  <w:r w:rsidR="00AF287D" w:rsidRPr="00AF287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="00AF287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до плюс 30º</w:t>
      </w:r>
      <w:r w:rsidR="00AF287D">
        <w:rPr>
          <w:rFonts w:ascii="Times New Roman" w:eastAsia="Aptos" w:hAnsi="Times New Roman" w:cs="Times New Roman"/>
          <w:kern w:val="0"/>
          <w:sz w:val="28"/>
          <w:szCs w:val="28"/>
          <w:lang w:val="en-US"/>
          <w14:ligatures w14:val="none"/>
        </w:rPr>
        <w:t>C</w:t>
      </w:r>
      <w:r w:rsidR="00AF287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(при хранении в невскрытой заводской упаковке)</w:t>
      </w:r>
    </w:p>
    <w:p w14:paraId="1B1CD4AA" w14:textId="77777777" w:rsidR="00674A8D" w:rsidRPr="00674A8D" w:rsidRDefault="00674A8D" w:rsidP="00674A8D">
      <w:pPr>
        <w:spacing w:line="254" w:lineRule="auto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br w:type="page"/>
      </w:r>
    </w:p>
    <w:p w14:paraId="3C174EE8" w14:textId="77777777" w:rsidR="00674A8D" w:rsidRPr="00674A8D" w:rsidRDefault="00674A8D" w:rsidP="00674A8D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</w:pPr>
      <w:bookmarkStart w:id="284" w:name="_Toc138952559"/>
      <w:bookmarkStart w:id="285" w:name="_Toc142312908"/>
      <w:bookmarkStart w:id="286" w:name="_Toc146806470"/>
      <w:bookmarkStart w:id="287" w:name="_Toc146806514"/>
      <w:bookmarkStart w:id="288" w:name="_Toc147327243"/>
      <w:bookmarkStart w:id="289" w:name="_Toc147327681"/>
      <w:bookmarkStart w:id="290" w:name="_Toc147930822"/>
      <w:bookmarkStart w:id="291" w:name="_Toc147930850"/>
      <w:bookmarkStart w:id="292" w:name="_Toc152336451"/>
      <w:bookmarkStart w:id="293" w:name="_Toc152336479"/>
      <w:bookmarkStart w:id="294" w:name="_Toc153455313"/>
      <w:bookmarkStart w:id="295" w:name="_Toc161226486"/>
      <w:bookmarkStart w:id="296" w:name="_Toc161226514"/>
      <w:bookmarkStart w:id="297" w:name="_Toc162516277"/>
      <w:bookmarkStart w:id="298" w:name="_Toc165976687"/>
      <w:bookmarkStart w:id="299" w:name="_Toc180068306"/>
      <w:r w:rsidRPr="00674A8D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  <w14:ligatures w14:val="none"/>
        </w:rPr>
        <w:lastRenderedPageBreak/>
        <w:t>4. ЦЕЛЬ И ПОТРЕБНОСТЬ РЕАЛИЗАЦИИ НАМЕЧАЕМОЙ ХОЗЯЙСТВЕННОЙ ДЕЯТЕЛЬНОСТИ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653AE941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B81EB9E" w14:textId="635CE114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Препарат Кэйталин Экстра, ВДГ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регистрант ООО «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РегСервис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», был включен в «План регистрационных испытаний пестицидов и агрохимикатов на 2020-2025 гг.», дополнение № 42 от 29.09.2022 г. и проходил регистрационные испытания на биологическую эффективность и безопасность для культурных растений на парах; полях, предназначенных под посев яровых зерновых культур и землях несельскохозяйственного назначения в 2022 и 2023 годах в трех почвенно-климатических зонах РФ. По окончанию испытаний произошла смена регистранта и регистрантом стало ООО «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Пролайн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» (изменения в «План регистрационных испытаний пестицидов и агрохимикатов на 2020-2025 гг.» № 19/647 от 02.02.2024 г.).</w:t>
      </w:r>
    </w:p>
    <w:p w14:paraId="1DC7042E" w14:textId="76220BBB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парах препарат Кэйталин Экстра, ВДГ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применяли в нормах применения 1,0; 2,0; 3,0 и 3,5 кг/га путем опрыскивания вегетирующих сорных растений сравнивали его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эффективность с эффектом эталона Кайман Форте, ВДГ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в нормах применения 2,0; 3,0 и 3,5 кг/га.</w:t>
      </w:r>
    </w:p>
    <w:p w14:paraId="7AE6EBC6" w14:textId="6A729FD0" w:rsidR="00AF287D" w:rsidRPr="00AF287D" w:rsidRDefault="00AF287D" w:rsidP="00A678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2022 году в первой зоне опыт по определению эффективности гербицида Кэйталин Экстра, ВДГ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лифосата кислоты (изопропиламинная соль) был заложен в Рязанской области (Рязанский район, с.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Подвязье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ул.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Парковая, д. 1, ИСА-филиал ФГБНУ ФНАЦ ВИМ) на парах с высоким уровнем засоренности однолетними, многолетними злаковыми и двудольными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сорняками.</w:t>
      </w:r>
    </w:p>
    <w:p w14:paraId="07F00C8F" w14:textId="61B6EC3A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Через месяц после обработки в контроле на 1 м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58 шт. сорных растений. Наибольшее распространение имели однолетние злаковые: куриное просо; многолетние злаковые: мятлик обыкновенный; однолетние двудольные: марь белая, паслен черный; многолетние двудольные: вьюнок полевой, осот розовый (бодяк полевой).</w:t>
      </w:r>
    </w:p>
    <w:p w14:paraId="1F1E86B8" w14:textId="1DEDADF6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Результаты применения гербицида Кэйталин Экстра, ВДГ с нормами применения 1,0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2,0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 и 3,5 кг/га свидетельствуют о его высокой эффективности в подавлении данных видов сорных растений.</w:t>
      </w:r>
    </w:p>
    <w:p w14:paraId="66CCCAE5" w14:textId="6608BBEB" w:rsidR="00AF287D" w:rsidRPr="00AF287D" w:rsidRDefault="00AF287D" w:rsidP="00A678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уровня засоренности учитываемыми в опыте сорняками достигло 74,1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79,3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91,4 и 96,6 % соответственно. Также высокими были показатели снижения биомассы: однолетних злаковых - 84,4 % (1,0 кг/га); 89,6 % (2,0 кг/га)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94,9 % (3,0 кг/га) и 100 % (3,5 кг/га); многолетних злаковых - 77,8 % (1,0 кг/га)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85,0 % (2,0 кг/га)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92,6 % (3,0 кг/га) и 100 % (3,5 кг/га); двудольных - 88,1 % (1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 кг/га)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93,8 % (2,0 кг/га)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100 % (3,0 кг/га) и 100 % (3,5 кг/га); злостных многолетних - 68,7 % (1,0 кг/га)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69,7 % (2,0 кг/га)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87,4 % (3,0 кг/га) и 91,9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% (3,5 кг/га).</w:t>
      </w:r>
    </w:p>
    <w:p w14:paraId="7D96F133" w14:textId="46DC66FB" w:rsidR="00AF287D" w:rsidRPr="00AF287D" w:rsidRDefault="00AF287D" w:rsidP="00A678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вариантах с эталоном Кайман Форте, ВДГ (2,0 кг/га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 кг/га и 3,5 кг/га) получены столь же высокие показатели подавления сорной растительности. Снижение количества сорняков составило - 82,8; 93,1 и 96,6 %, соответственно, снижение их биомассы - 89,4; 100,0 и 100 % (однолетних злаковых), 92,4; 93,0 и 100 % (многолетних злаковых); 93,8; 100,0 и 100 % (двудольных); 73,0; 87,5 и 91,8 % (злостных многолетних).</w:t>
      </w:r>
    </w:p>
    <w:p w14:paraId="22B03B3F" w14:textId="70EAEBE1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Все виды сорных растений, встречающиеся на опытном участке, проявили к гербициду Кэйталин Экстра, ВДГ высокую чувствительность.</w:t>
      </w:r>
    </w:p>
    <w:p w14:paraId="5DDDB454" w14:textId="0161C18A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гербицида Кэйталин Экстра, ВДГ 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парах в первой почвенно-климатической зоне Российской Федерации в 2022 году с нормами применения 1,0; 2,0; 3,0 и 3,5 кг/га при однократной обработке с нормой расхода рабочей жидкости 150 л/га в конце лета,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2,0; 3,0 и 3,5 кг/га не уступал показателям эталонного гербицида Кайман Форте, ВДГ [687 г/кг Глифосата кислоты (изопропиламинная соль)] при нормах его применения 2,0; 3,0 и 3,5 кг/га.</w:t>
      </w:r>
    </w:p>
    <w:p w14:paraId="1D5BEF8E" w14:textId="280CD2E1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Во второй зоне в 2022 году опыт по определению эффективности гербицида Кэйталин Экстра, ВДГ 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был заложен в Ростовской области (Аксайский р-н, пос. Рассвет, ФГБНУ ФРАНЦ) на парах со средним уровнем засоренности однолетними, многолетними злаковыми и двудольными сорняками (включая злостные многолетние), где перед закладкой опыта в контроле на 1 м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32 сорных растения.</w:t>
      </w:r>
    </w:p>
    <w:p w14:paraId="6B01E9C8" w14:textId="539E1348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Кэйталин Экстра, ВДГ с нормами применения 1,0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 и 3,5 кг/га свидетельствуют о его высокой эффективности в подавлении данных видов сорных растений (против вьюнка полевого препарат был достаточно эффективен в нормах применения 3,0 и 3,5 кг/га).</w:t>
      </w:r>
    </w:p>
    <w:p w14:paraId="31AEACF0" w14:textId="10978C8A" w:rsidR="00AF287D" w:rsidRPr="00AF287D" w:rsidRDefault="00AF287D" w:rsidP="00A678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уровня засоренности учитываемыми в опыте сорняками достигло 72,5 %, 80,0 %, 90,0 % и 92,5 % соответственно. Также высокими были показатели снижения биомассы: однолетних злаковых - 91,6 % (1,0 кг/га), 91,1 % (2,0 кг/га), 100,0 % (3,0 кг/га) и 100,0 % (3,5 кг/га); многолетних злаковых - 73,2 % (1,0 кг/га), 83,1 % (2,0 кг/га), 89,1 % (3,0 кг/га) и 94,8 % (3,5 кг/га); двудольных -91,0 % (1,0 кг/га), 91,5 % (2,0 кг/га), 100,0 % (3,0 кг/га) и 100,0 % (3,5</w:t>
      </w:r>
      <w:r w:rsidR="00A6786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кг/га); злостных многолетних - 52,4 % (1,0 кг/га), 63,4 % (2,0 кг/га), 76,3 % (3,0 кг/га) и 78,2 % (3,5 кг/га).</w:t>
      </w:r>
    </w:p>
    <w:p w14:paraId="152D404B" w14:textId="75677706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вариантах с эталоном Кайман Форте, ВДГ (2,0 кг/га, 3,0 кг/га и 3,5 кг/га) получены столь же высокие показатели подавления сорной растительности. Снижение количества сорняков составило - 77,5; 87,5 % и 95,0 %, соответственно. Снижение биомассы однолетних злаковых сорняков -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90,9; 90,9 и 100,0 %; многолетних злаковых сорняков - 82,8; 89,3 и 95,0 %; двудольных - 82,7; 100,0 и 100,0 %; злостных многолетних - 62,3; 76,3 и 88,9 %.</w:t>
      </w:r>
    </w:p>
    <w:p w14:paraId="12462CBF" w14:textId="77777777" w:rsidR="00494E80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Все виды сорных растений, встречающиеся на опытном участке, проявили к гербициду Кэйталин Экстра, ВДГ высокую чувствительность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04082D34" w14:textId="4336396F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 целом, испытания гербицида Кэйталин Экстра, ВДГ 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парах во второй почвенно-климатической зоне Российской Федерации в 2022 году с нормами применения 1,0; 2,0; 3,0 и 3,5 кг/га при однократной обработке с нормой расхода рабочей жидкости 200 л/га в конце лета,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2,0; 3,0 и 3,5 кг/га не уступал показателям эталонного гербицида Кайман Форте, ВДГ [687 г/кг Глифосата кислоты (изопропиламинная соль)] при нормах его применения 2,0; 3,0 и 3,5 кг/га.</w:t>
      </w:r>
    </w:p>
    <w:p w14:paraId="4454F244" w14:textId="7978CB73" w:rsidR="00AF287D" w:rsidRPr="00AF287D" w:rsidRDefault="00AF287D" w:rsidP="00494E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2022 году опыт по определению эффективности гербицида Кэйталин Экстра, ВДГ 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был заложен в Ростовской области (Орловский р-н, и. Красноармейский, ФГУП «Красноармейское») на парах со средним уровнем засоренности однолетними, многолетними злаковыми и двудольными сорняками, где перед закладкой опыта в контроле на 1 м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38 сорных растений.</w:t>
      </w:r>
    </w:p>
    <w:p w14:paraId="68B0A3AB" w14:textId="4E4CBE0A" w:rsidR="00AF287D" w:rsidRPr="00AF287D" w:rsidRDefault="00AF287D" w:rsidP="00494E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К однолетним злаковым сорнякам относились: просо куриное; к многолетним злаковым (за исключением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свинороя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пальчатого); пырей ползучий; к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двудольным сорнякам; дурнишник калифорнийский, марь белая; к злостным многолетним: свинорой пальчатый.</w:t>
      </w:r>
    </w:p>
    <w:p w14:paraId="5B83D30D" w14:textId="77777777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Кэйталин Экстра, ВДГ с нормами расхода 1,0; 2,0; 3,0 и 3,5 кг/га свидетельствуют о его высокой эффективности в подавлении данных видов сорных растений.</w:t>
      </w:r>
    </w:p>
    <w:p w14:paraId="6B448432" w14:textId="05AF2EEC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Снижение уровня засоренности учитываемыми в опыте сорняками достигло 76,1 %, 87,0 %, 91,3 % и 95,7 % соответственно. Также высокими были показатели снижения биомассы: однолетних злаковых 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84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6 % (1,0 кг/га), 89,7 % (2,0 кг/га), 94,9 % (3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0 кг/га) и 100,0 % (3,5 кг/га); многолетних злаковых - 77,2 % (1,0 кг/га), 88,3 % (2,0 кг/га), 88,1 % (3,0 кг/га) и 89,5 % (3,5 кг/га); двудольных - 84,6 % (1,0 кг/га), 94,7 % (2,0 кг/га), 100,0 % (3,0 кг/га) и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100,0 % (3,5 кг/га); злостных многолетних - 68,7 % (1,0 кг/га)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78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3 % (2,0 кг/га), 79,9 % (3,0 кг/га) и 90,0 % (3,5 кг/га).</w:t>
      </w:r>
    </w:p>
    <w:p w14:paraId="3E905046" w14:textId="3DD101EB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вариантах с эталоном Кайман Форте, ВДГ (2,0 кг/га, 3,0 кг/га и 3,5 кг/га) получены столь же высокие показатели подавления сорной растительности. Снижение количества сорняков составило - 82,6; 95,4 и 100,0 %, соответственно. Снижение биомассы однолетних злаковых сорняков - 85,3; 95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4 и 100,0 %; многолетних злаковых сорняков - 88,3; 88,5 и 89,5 %; двудольных - 89,6; 100,0 и 100,0 %; злостных многолетних - 79,1; 79,7 и 80,4 %.</w:t>
      </w:r>
    </w:p>
    <w:p w14:paraId="41646CAA" w14:textId="352CB0AD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Все виды сорных растений, встречающиеся на опытном участке, проявили к гербициду Кэйталин Экстра, ВДГ высокую чувствительность.</w:t>
      </w:r>
    </w:p>
    <w:p w14:paraId="5526B68C" w14:textId="7A959329" w:rsidR="00AF287D" w:rsidRPr="00AF287D" w:rsidRDefault="00AF287D" w:rsidP="00494E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Итак, испытания гербицида Кэйталин Экстра, ВДГ 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парах в третьей почвенно-климатической зоне Российской Федерации в 2022 году с нормами применения 1,0; 2,0; 3,0 и 3,5 кг/га при однократной обработке с нормой расхода рабочей жидкости 200 л/га в конце лета,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2,0; 3,0 и 3,5 кг/га не уступал показателям эталонного гербицида Кайман Форте, ВДГ [687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г/кг Глифосата кислоты (изопропиламинная соль)] при нормах его применения 2,0; 3,0 и 3,5 кг/га.</w:t>
      </w:r>
    </w:p>
    <w:p w14:paraId="6338391A" w14:textId="3394B489" w:rsidR="00AF287D" w:rsidRPr="00AF287D" w:rsidRDefault="00AF287D" w:rsidP="00494E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2023 году в первой зоне опыт по определению эффективности гербицида Кэйталин Экстра, ВДГ 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лифосата кислоты (изопропиламинная соль) был заложен в Рязанской области (Рязанский район, с.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Подвязье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ул.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Парковая, д. 1, ИСА-филиал ФГБНУ ФНАЦ ВИМ) на парах с высоким уровнем засоренности однолетними, многолетними злаковыми и двудольными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сорняками.</w:t>
      </w:r>
    </w:p>
    <w:p w14:paraId="7EF39387" w14:textId="3AE9F0B8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Через месяц после обработки в контроле на 1 м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86 шт. сорных растений. Однолетние двудольные сорняки относились к видам - щирица запрокинутая, марь белая; к многолетним двудольным - бодяк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полевой; к однолетним злаковым - куриное просо, щетинник зеленый; к многолетним злаковым - пырей ползучий, костер безостый.</w:t>
      </w:r>
    </w:p>
    <w:p w14:paraId="616F9043" w14:textId="164ECB5B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Кэйталин Экстра, ВДГ с нормами расхода 1,0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2,0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 и 3,5 кг/га свидетельствуют о его высокой эффективности в подавлении данных сорных растений. Снижение уровня засорённости через 30 дней после опрыскивания достигло 75,6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88,4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89,5 и 98,2 %, соответственно. Высокими были показатели снижения биомассы: однолетних злаковых - 84,6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93,3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100,0 и 100,0 %, многолетних злаковых - 76,2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81,5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91,1 и 94,8 %, однолетних двудольных - 81,2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88,5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100,0 и 100,0 %, многолетних двудольных - 81,0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86,4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90,4 и 92,5 %.</w:t>
      </w:r>
    </w:p>
    <w:p w14:paraId="27440D74" w14:textId="2D81FA10" w:rsidR="00AF287D" w:rsidRPr="00AF287D" w:rsidRDefault="00AF287D" w:rsidP="00336E8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вариантах с эталоном Кайман Форте, ВДГ 2,0</w:t>
      </w:r>
      <w:r w:rsidR="00494E8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 и 3,5 кг/га получены столь же высокие показатели подавления сорняков: снижение количества сорняков составило 89,5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89,5 и 98,2 %, а снижение их биомассы 93,7; 100,0 и 100,0 % у однолетних злаковых, 82,2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91,6 и 94,6 % у многолетних злаковых, 89,7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100,0 и 100,0 % у однолетних двудольных, 85,8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91,3 и 92,7 % у многолетних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двудольных.</w:t>
      </w:r>
    </w:p>
    <w:p w14:paraId="78C4D80E" w14:textId="6A557D94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Все виды сорных растений, встречающиеся на опытном участке, проявили к гербициду Кэйталин Экстра, ВДГ высокую чувствительность.</w:t>
      </w:r>
    </w:p>
    <w:p w14:paraId="796F8B26" w14:textId="0EB04579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гербицида Кэйталин Экстра, ВДГ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парах в первой почвенно-климатической зоне Российской Федерации в 2023 году с нормами применения 1,0; 2,0; 3,0 и 3,5 кг/га при однократной обработке с нормой расхода рабочей жидкости 200 л/га в конце лета,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2,0; 3,0 и 3,5 кг/га не уступал показателям эталонного гербицида Кайман Форте, ВДГ [687 г/кг Глифосата кислоты (изопропиламинная соль)] при нормах его применения 2,0; 3,0 и 3,5 кг/га.</w:t>
      </w:r>
    </w:p>
    <w:p w14:paraId="473A2E3C" w14:textId="00A5E841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2023 году опыт по определению эффективности гербицида Кэйталин Экстра, ВДГ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лифосата кислоты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(изопропиламинная соль) был заложен в Ростовской области (Аксайский р-н, пос. Рассвет, ФГБНУ ФРАНЦ) на парах со средним уровнем засоренности однолетними, многолетними злаковыми и двудольными сорняками, где перед закладкой опыта в контроле на 1 м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25 сорных растения. К однолетним двудольным сорнякам относились виды: амброзия полыннолистная, марь белая; к многолетним двудольным: бодяк полевой; к однолетним злаковым: щетинник зеленый; к многолетним злаковым: пырей ползучий.</w:t>
      </w:r>
    </w:p>
    <w:p w14:paraId="0FC4FCEC" w14:textId="5FD1CFDA" w:rsidR="00AF287D" w:rsidRPr="00AF287D" w:rsidRDefault="00AF287D" w:rsidP="00336E8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Кэйталин Экстра, ВДГ с нормами применения 1,0; 2,0; 3,0 и 3,5 кг/га свидетельствуют о его высокой эффективности в подавлении данных сорных растений. Снижение уровня засорённости, учитываемой в опыте, достигло соответственно: на 30 сутки после обработки - 92,1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98,3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100,0 и 100,0 %; на 45 сутки - 85,0; 91,4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98,2 и 100,0 %. Соответственно, высокими были показатели и снижения биомассы однолетних двудольных сорняков: на 30 сутки - 100,0, 100,0, 100,0 и 100,0 %, на 45 сутки - 93,7, 96,1, 100,0 и 100,0 %; однолетних злаковых: на 30 сутки - 100,0, 100,0, 100,0 и 100,0 %, на 45 сутки - 95,0, 94,9, 100,0 и 100,0 %; многолетних двудольных сорняков - на 30 сутки - 89,5, 100,0, 100,0 и 100,0 %, на 45 сутки -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87,5, 94,8, 97,3 и 100,0 %; многолетних злаковых сорняков - на 30 сутки - 68,0, 81,4, 100,0 и 100,0 %, на 45 сутки - 55,5, 69,7, 97,5 и 100,0 %.</w:t>
      </w:r>
    </w:p>
    <w:p w14:paraId="720ECF0E" w14:textId="2260D0E0" w:rsidR="00AF287D" w:rsidRPr="00AF287D" w:rsidRDefault="00AF287D" w:rsidP="00336E8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вариантах с эталоном Кайман Форте, ВДГ (2,0, 3,0 и 3,5 кг/га) получены столь же высокие показатели подавления однолетних и многолетних двудольных и злаковых сорняков. Снижение количества сорных растений составило: на 30 сутки - 98,2, 100,0 и 100,0 %, на 45 сутки - 92,3, 98,7 и 100,0 %.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биомассы однолетних двудольных сорняков: на 30 сутки - 100,0, 100,0, 100,0 %, на 45 сутки - 95,7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100,0 и 100,0 %; однолетних злаковых: на 30 сутки - 100,0, 100,0, 100,0 %, на 45 сутки - 95,4, 100,0 и 100,0 %; многолетних двудольных сорняков - на 30 сутки - 100,0, 100,0, 100,0 %, на 45 сутки - 97,4, 98,2 и 100,0 %; многолетних злаковых сорняков - на 30 сутки - 88,7, 100,0 и 100,0 %, на 45 сутки - 92,8, 97,8 и 100,0 %.</w:t>
      </w:r>
    </w:p>
    <w:p w14:paraId="111226B9" w14:textId="77777777" w:rsidR="00336E84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Все виды сорных растений, встречающиеся на опытном участке, проявили к гербициду Кэйталин Экстра, ВДГ высокую чувствительность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3D2A318A" w14:textId="06DAC05B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гербицида Кэйталин Экстра, ВДГ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парах во второй почвенно-климатической зоне Российской Федерации в 2023 году с нормами применения 1,0; 2,0; 3,0 и 3,5 кг/га при однократной обработке с нормой расхода рабочей жидкости 200 л/га в конце лета,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2,0; 3,0 и 3,5 кг/га не уступал показателям эталонного гербицида Кайман Форте, ВДГ [687 г/кг Глифосата кислоты (изопропиламинная соль)] при нормах его применения 2,0; 3,0 и 3,5 кг/га.</w:t>
      </w:r>
    </w:p>
    <w:p w14:paraId="7B1AA6C8" w14:textId="6D555FAF" w:rsidR="00AF287D" w:rsidRPr="00AF287D" w:rsidRDefault="00AF287D" w:rsidP="00336E8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2023 году опыт по определению эффективности гербицида Кэйталин Экстра, ВДГ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был заложен в Ростовской области (Орловский р-н, и. Красноармейский, ФГУП «Красноармейское») на парах со средним уровнем засоренности однолетними, многолетними злаковыми и двудольными сорняками, где перед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закладкой опыта в контроле на 1 м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29 сорных растений.</w:t>
      </w:r>
    </w:p>
    <w:p w14:paraId="487D4EA7" w14:textId="204BBBD3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 однолетним двудольным сорнякам относились виды: щирица запрокинутая, дурнишник калифорнийский; к многолетним двудольным: молочай лозный; к однолетним злаковым: просо куриное; к многолетним злаковым: мятлик обыкновенный.</w:t>
      </w:r>
    </w:p>
    <w:p w14:paraId="0A3F2A39" w14:textId="77777777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Кэйталин Экстра, ВДГ с нормами расхода 1,0; 2,0; 3,0 и 3,5 кг/га свидетельствуют о его высокой эффективности в подавлении данных видов сорных растений.</w:t>
      </w:r>
    </w:p>
    <w:p w14:paraId="3443801C" w14:textId="0586F352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Снижение уровня засоренности учитываемыми в опыте сорняками достигло 90,4, 100,0, 100,0 и 100,0 %; на 45 сутки -91,6, 96,5 и 100,0 %. Соответственно, высокими были показатели и снижения биомассы однолетних двудольных сорняков: на 30 сутки - 95,0, 100,0, 100,0 и 100,0%, на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45 сутки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91,0, 95,6, 100,0 и 100,0 %; однолетних злаковых: на 30 сутки - 93,9, 100,0, 100,0 и 100,0 %, на 45 сутки - 89,5, 89,7, 95,1 и 100,0 %; многолетних двудольных сорняков - на 30 сутки - 87,4, 100,0, 100,0 и 100,0 %, на 45 сутки - 81,6, 90,7, 95,5 и 100,0 %; многолетних злаковых сорняков - на 30 сутки - 84,1, 100,0, 100,0 и 100,0 %, на 45 сутки - 76,2, 87,2, 93,8 и 100,0 % (3,5 кг/га).</w:t>
      </w:r>
    </w:p>
    <w:p w14:paraId="54417AE2" w14:textId="0224E8D7" w:rsidR="00AF287D" w:rsidRPr="00AF287D" w:rsidRDefault="00AF287D" w:rsidP="00336E8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вариантах с эталоном Кайман Форте, ВДГ (2,0 кг/га, 3,0 кг/га и 3,5 кг/га) получены столь же высокие показатели подавления сорной растительности. Снижение количества сорняков составило: на 30 сутки - 100,0, 100,0, 100,0 %, на 45 сутки - 93,1, 97,7 и 100,0 %. Снижение биомассы однолетних двудольных сорняков: на 30 сутки - 100,0, 100,0 100,0 %, на 45 сутки - 95,0, 100,0 и 100,0 %; однолетних злаковых: на 30 сутки - 100,0, 100,0, 100,0 %, на 45 сутки - 95,5, 100,0 и 100,0%; многолетних двудольных сорняков - на 30 сутки - 100,0, 100,0, 100,0 %, на 45 сутки - 93,4, 94,3 и 100,0 %; многолетних злаковых сорняков - на 30 сутки - 100,0, 100,0, 100,0 %, на 45 сутки - 92,6, 93,3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 100,0%.</w:t>
      </w:r>
    </w:p>
    <w:p w14:paraId="72C206B2" w14:textId="172DE37D" w:rsidR="00AF287D" w:rsidRPr="00AF287D" w:rsidRDefault="00AF287D" w:rsidP="00336E8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Все виды сорных растений, встречающиеся на опытном участке, проявили к гербициду Кэйталин Экстра, ВДГ высокую чувствительность.</w:t>
      </w:r>
    </w:p>
    <w:p w14:paraId="1887E1C3" w14:textId="3890C15D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Итак, испытания гербицида Кэйталин Экстра, ВДГ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парах в третьей почвенно-климатической зоне Российской Федерации в 2023 году с нормами применения 1,0; 2,0; 3,0 и 3,5 кг/га при однократной обработке с нормой расхода рабочей жидкости 200 л/га в конце лета,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2,0; 3,0 и 3,5 кг/га не уступал показателям эталонного гербицида Кайман Форте, ВДГ [687 г/кг Глифосата кислоты (изопропиламинная соль)] при нормах его применения 2,0; 3,0 и 3,5 кг/га.</w:t>
      </w:r>
    </w:p>
    <w:p w14:paraId="280838FE" w14:textId="7F6A8BE1" w:rsidR="00AF287D" w:rsidRPr="00AF287D" w:rsidRDefault="00AF287D" w:rsidP="002F25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полях, предназначенных под посев яровых зерновых культур препарат Кэйталин Экстра, ВДГ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336E8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лифосата кислоты (изопропиламинная соль) применяли в нормах применения 1,0; 2,0; 3,0 и 3,5 кг/га путем опрыскивания вегетирующих сорных растений в конце лета в послеуборочный период и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сравнивали его эффективность с эффектом эталона Кайман Форте, ВДГ [687 г/кг Глифосата кислоты (изопропиламинная соль)] в нормах применения 2,0; 3,0 и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3,5 л/га.</w:t>
      </w:r>
    </w:p>
    <w:p w14:paraId="50270617" w14:textId="703308A2" w:rsidR="00AF287D" w:rsidRPr="00AF287D" w:rsidRDefault="00AF287D" w:rsidP="002F25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2022 году в первой зоне опыт по определению эффективности гербицида Кэйталин Экстра, ВДГ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лифосата кислоты (изопропиламинная соль) был заложен в Рязанской области (Рязанский район, с.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Подвязье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ул.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Парковая, д. 1, ИСА-филиал ФГБНУ ФНАЦ ВИМ) на полях, предназначенных под посев яровых зерновых культур, с очень высоким уровнем засоренности однолетними, многолетними злаковыми и двудольными сорняками.</w:t>
      </w:r>
    </w:p>
    <w:p w14:paraId="04217F4B" w14:textId="38E6B265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Через месяц после обработки в контроле на 1 м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74 шт. сорных растений. Наибольшее распространение имели однолетние злаковые: щетинник сизый, куриное просо; многолетние злаковые: мятлик обыкновенный, пырей обыкновенный; однолетние двудольные: марь белая, паслен черный; многолетние двудольные: осот розовый (бодяк полевой).</w:t>
      </w:r>
    </w:p>
    <w:p w14:paraId="49CC649C" w14:textId="05A07735" w:rsidR="00AF287D" w:rsidRPr="00AF287D" w:rsidRDefault="00AF287D" w:rsidP="002F25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Кэйталин Экстра, ВДГ с нормами применения 1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2,0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 и 3,5 кг/га свидетельствуют о его высокой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эффективности в подавлении данных видов сорных растений. Снижение уровня засоренности учитываемыми в опыте сорняками достигло 77,0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83,8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93,2 и 95,9 % соответственно. Также высокими были показатели снижения биомассы: однолетних злаковых - 87,8 % (1,0 кг/га), 91,8 % (2,0 кг/га), 97,1 % (3,0 кг/га) и 97,4 % (3,5 кг/га); многолетних злаковых - 76,3 % (1,0 кг/га), 85,5 % (2,0 кг/га), 91,5 % (3,0 кг/га) и 97,3 % (3,5 кг/га); двудольных - 85,2 % (1,0 кг/га), 85,4 % (2,0 кг/га), 100,0 % (3,0 кг/га) и 100,0 % (3,5 кг/га); злостных многолетних - 71,8 % (1,0 кг/га), 81,6 % (2,0 кг/га), 90,8 % (3,0 кг/га) и 91,8 %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(3,5 кг/га).</w:t>
      </w:r>
    </w:p>
    <w:p w14:paraId="413C92EF" w14:textId="61188283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вариантах с эталоном Кайман Форте, ВДГ (2,0 кг/га, 3,0 кг/га и 3,5 кг/га) получены столь же высокие показатели подавления сорной растительности. Снижение количества сорняков составило - 83,8; 93,2 и 97,3 %, соответственно, снижение их биомассы - 91,8; 97,3 и 100 % (однолетних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злаковых), 85,4; 91,3 и 97,3 % (многолетних злаковых); 92,7; 100,0 и 100,0 % (двудольных); 72,1; 90,9 и 91,5 % (злостных многолетних).</w:t>
      </w:r>
    </w:p>
    <w:p w14:paraId="4BDDB8A2" w14:textId="1811B849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Все виды сорных растений, встречающиеся на опытном участке, проявили к гербициду Кэйталин Экстра, ВДГ высокую чувствительность В целом, испытания гербицида Кэйталин Экстра, ВДГ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полях, предназначенных под посев яровых зерновых культур, в первой почвенно-климатической зоне Российской Федерации в 2022 году с нормами применения 1,0; 2,0; 3,0 и 3,5 кг/га при однократной обработке с нормой расхода рабочей жидкости 150 л/га в конце лета,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2,0; 3,0 и 3,5 кг/га не уступал показателям эталонного гербицида Кайман Форте, ВДГ [687 г/кг Глифосата кислоты (изопропиламинная соль)] при нормах его применения 2,0; 3,0 и 3,5 кг/га.</w:t>
      </w:r>
    </w:p>
    <w:p w14:paraId="15912DAC" w14:textId="61CF9AFA" w:rsidR="00AF287D" w:rsidRPr="00AF287D" w:rsidRDefault="00AF287D" w:rsidP="002F25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2022 году опыт по определению эффективности гербицида Кэйталин Экстра, ВДГ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был заложен в Ростовской области (Аксайский р-н, пос. Рассвет,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ФГБНУ ФРАН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Ц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на полях, предназначенных под посев яровых зерновых культур, со средним уровнем засоренности однолетними, многолетними злаковыми и двудольными сорняками.</w:t>
      </w:r>
    </w:p>
    <w:p w14:paraId="7D91CA0A" w14:textId="6C8EC417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Через месяц после обработки в контроле на 1 м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48 шт. сорных растений. Наибольшее распространение имели однолетние злаковые: щетинник зеленый, щетинник сизый; многолетние злаковые: пырей ползучий; однолетние двудольные: амброзия полыннолистная; многолетние двудольные: бодяк полевой.</w:t>
      </w:r>
    </w:p>
    <w:p w14:paraId="06E1951D" w14:textId="4E40B2FC" w:rsidR="00AF287D" w:rsidRPr="00AF287D" w:rsidRDefault="00AF287D" w:rsidP="002F25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гербицида Кэйталин Экстра, ВДГ с нормами применения 1,0; 2,0; 3,0 и 3,5 кг/га свидетельствуют о его высокой эффективности в подавлении данных видов сорных растений. Снижение уровня засоренности учитываемыми в опыте сорняками достигло 75,5 %, 83,0 %, 90,6 % и 94,3 % соответственно. Также высокими были показатели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снижения биомассы: однолетних злаковых - 88,5 % (1,0 кг/га), 92,5 % (2,0 кг/га), 100,0 % (3,0 кг/га) и 96,4 % (3,5 кг/га); многолетних злаковых - 66,1 % (1,0 кг/га), 77,4 % (2,0 кг/га), 78,3 % (3,0 кг/га) и 90,1 % (3,5 кг/га); двудольных - 80,1 % (1,0 кг/га), 87,9 % (2,0 кг/га), 93,8 % (3,0 кг/га) и 100,0 % (3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 кг/га); злостных многолетних - 66,8 % (1,0 кг/га), 75,7 % (2,0 кг/га), 84,0 % (3,0 кг/га) и 92,9 % (3,5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кг/га).</w:t>
      </w:r>
    </w:p>
    <w:p w14:paraId="17222226" w14:textId="1ADCD282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вариантах с эталоном Кайман Форте, ВДГ- 2,0; 3,0 и 3,5 кг/га получены столь же высокие показатели подавления сорной растительности. Снижение количества сорняков составило - 83,0; 92,5 и 96,2 %, соответственно. Снижение биомассы однолетних злаковых сорняков - 92,3; 100,0 и 100 %, соответственно, многолетних злаковых сорняков - 77,5; 89,0 и 90,1 %; двудольных - 87,6; 94,3 и 100,0 %; злостных многолетних - 75,6; 83,0 и 92,4 %.</w:t>
      </w:r>
    </w:p>
    <w:p w14:paraId="0B54C51E" w14:textId="77777777" w:rsidR="002F2549" w:rsidRDefault="00AF287D" w:rsidP="002F25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Все виды сорных растений, встречающиеся на опытном участке, проявили к гербициду Кэйталин Экстра, ВДГ высокую чувствительность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5C420742" w14:textId="5448E3B7" w:rsidR="00AF287D" w:rsidRPr="00AF287D" w:rsidRDefault="00AF287D" w:rsidP="002F25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гербицида Кэйталин Экстра, ВДГ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полях, предназначенных под посев яровых зерновых культу, во второй почвенно-климатической зоне Российской Федерации в 2022 году с нормами применения 1,0; 2,0; 3,0 и 3,5 кг/га при однократной обработке с нормой расхода рабочей жидкости 200 л/га в конце лета,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2,0; 3,0 и 3,5 кг/га не уступал показателям эталонного гербицида Кайман Форте, ВДГ [687 г/кг Глифосата кислоты (изопропиламинная соль)] при нормах его применения 2,0; 3,0 и 3,5 кг/га.</w:t>
      </w:r>
    </w:p>
    <w:p w14:paraId="6C1D46A4" w14:textId="068D8D09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2022 году опыт по определению эффективности гербицида Кэйталин Экстра, ВДГ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был заложен в Ростовской области (Орловский р-н, и. Красноармейский, ФГУП «Красноармейское») на полях, предназначенных под посев яровых зерновых культур, со средним уровнем засоренности однолетними, многолетними злаковыми и двудольными сорняками.</w:t>
      </w:r>
    </w:p>
    <w:p w14:paraId="3A2BEF59" w14:textId="6050CAA6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Через месяц после обработки в контроле на 1 м2 в среднем насчитывалось 43 шт. сорных растений. Наибольшее распространение имели однолетние злаковые: куриное просо, щетинник сизый; к многолетним злаковым: пырей ползучий; к двудольным сорнякам: амброзия полыннолистная; к злостным многолетним: вьюнок полевой.</w:t>
      </w:r>
    </w:p>
    <w:p w14:paraId="428A0738" w14:textId="4BFF5D23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Кэйталин Экстра, ВДГ с нормами применения 1,0; 2,0; 3,0 и 3,5 кг/га свидетельствуют о его высокой эффективности в подавлении данных видов сорных растений. Снижение уровня засоренности учитываемыми в опыте сорняками достигло 68,1 %, 76,6 %, 83,0 % и 87,2 % соответственно. Также высокими были показатели снижения биомассы: однолетних злаковых - 86,0 % (1,0 кг/га), 84,9 % (2,0 кг/га), 90,2 % (3,0 кг/га) и 95,7 % (3,5 кг/га); многолетних злаковых - 63,3 % (1,0 кг/га), 77,6 % (2,0 кг/га), 78,7 % (3,0 кг/га) и 87,3 % (3,5 кг/га); двудольных - 76,8 % (1,0 кг/га), 84,2 % (2,0 кг/га), 92,4 % (3,0 кг/га) и 92,9 % (3,5 кг/га); злостных многолетних - 55,6 % (1,0 кг/га), 67,8 % (2,0 кг/га), 78,4 % (3,0 кг/га) и 80,3 % (3,5 кг/га).</w:t>
      </w:r>
    </w:p>
    <w:p w14:paraId="7536DC83" w14:textId="77777777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вариантах с эталоном Кайман Форте, ВДГ (2,0 кг/га; 3,0 и 3,5 кг/га) получены столь же высокие показатели подавления сорной растительности.</w:t>
      </w:r>
    </w:p>
    <w:p w14:paraId="54B69668" w14:textId="36A473CD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Снижение количества сорняков составило - 74,5; 80,9 и 91,5 %, соответственно. Снижение биомассы однолетних злаковых сорняков - 85,2; 90,4 и 90,8 %; многолетних злаковых сорняков - 77,6; 79,1 и 93,5 %; двудольных - 84,5; 92,9 и 100,0 %; злостных многолетних - 59,0; 70,2 и 70,0.</w:t>
      </w:r>
    </w:p>
    <w:p w14:paraId="7BB507B1" w14:textId="1D2965DF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Все виды сорных растений, встречающиеся на опытном участке, проявили к гербициду Кэйталин Экстра, ВДГ высокую чувствительность В целом, испытания гербицида Кэйталин Экстра, ВДГ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лифосата кислоты (изопропиламинная соль), проведенные на полях, предназначенных под посев яровых зерновых культур, в третьей почвенно-климатической зоне Российской Федерации в 2022 году с нормами применения 1,0; 2,0; 3,0 и 3,5 кг/га при однократной обработке с нормой расхода рабочей жидкости 200 л/га в конце лета, показали, что по уровню снижения численности и сырой массы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однолетних и многолетних злаковых и двудольных сорняков испытываемый препарат при нормах применения 2,0; 3,0 и 3,5 кг/га не уступал показателям эталонного гербицида Кайман Форте, ВДГ [687 г/кг Глифосата кислоты (изопропиламинная соль)] при нормах его применения 2,0; 3,0 и 3,5 кг/га.</w:t>
      </w:r>
    </w:p>
    <w:p w14:paraId="56AA73D0" w14:textId="1D9DCB92" w:rsidR="00AF287D" w:rsidRPr="00AF287D" w:rsidRDefault="00AF287D" w:rsidP="002F25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2023 году в первой зоне опыт по определению эффективности гербицида Кэйталин Экстра, ВДГ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лифосата кислоты (изопропиламинная соль) был заложен в Рязанской области (Рязанский район, с.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Подвязье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 ул.</w:t>
      </w:r>
      <w:r w:rsidR="002F254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Парковая, д. 1, ИСА-филиал ФГБНУ ФНАЦ ВИМ) на полях, предназначенных под посев яровых зерновых культур, с высоким уровнем засоренности однолетними, многолетними злаковыми и двудольными сорняками.</w:t>
      </w:r>
    </w:p>
    <w:p w14:paraId="3539BE92" w14:textId="01EA6B85" w:rsidR="00AF287D" w:rsidRPr="00AF287D" w:rsidRDefault="00AF287D" w:rsidP="001472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Через месяц после обработки в контроле на 1 м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79 шт. сорных растений. Наибольшее распространение имели однолетние злаковые: щетинник зеленый, куриное просо; многолетние злаковые: пырей ползучий, костер безостый; однолетние двудольные: щирица запрокинутая, марь белая; многолетние двудольные: бодяк полевой.</w:t>
      </w:r>
    </w:p>
    <w:p w14:paraId="0350B2F2" w14:textId="08847271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Кэйталин Экстра, ВДГ с нормами применения 1,0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2,0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 и 3,5 кг/га свидетельствуют о его высокой эффективности в подавлении данных сорных растений. Снижение уровня засорённости учитываемыми в опыте сорняками через 30 дней после опрыскивания достигло 70,9; 83,5; 93,7 и 98,1 %. Высокими были показатели снижения биомассы: однолетних злаковых - 83,6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91,7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100,0 и 100,0 %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многолетних злаковых -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77,9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85,3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94,0 и 97,4 %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однолетних двудольных - 82,9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85,2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90,3 и 100,0 %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многолетних двудольных 74,3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78,1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88,4 и 94,3 %.</w:t>
      </w:r>
    </w:p>
    <w:p w14:paraId="3C582AE0" w14:textId="0211FE71" w:rsidR="00AF287D" w:rsidRPr="00AF287D" w:rsidRDefault="00AF287D" w:rsidP="001472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варианте с эталоном Кайман Форте, ВДГ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- 2,0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 и 3,5 кг/га получены столь же высокие показатели подавления сорняков: снижение количества сорняков составило 86,1; 93,7 и 98,1 %, а снижение их биомассы 91,9; 100,0 и 100,0 % у однолетних злаковых, 86,4; 94,3 и 97,7 % у многолетних злаковых, 86,8; 90,8 и 100,0 % у однолетних двудольных, 82,8; 89,1 и 94,7 % у многолетних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двудольных..</w:t>
      </w:r>
    </w:p>
    <w:p w14:paraId="6C00D9D9" w14:textId="77777777" w:rsidR="00147285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Все виды сорных растений, встречающиеся на опытном участке, проявили к гербициду Кэйталин Экстра, ВДГ высокую чувствительность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1D719949" w14:textId="1F158DE4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итоге, испытания гербицида Кэйталин Экстра, ВДГ 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полях, предназначенных под посев яровых зерновых культур, в первой почвенно-климатической зоне Российской Федерации в 2023 году с нормами применения 1,0; 2,0; 3,0 и 3,5 кг/га при однократной обработке с нормой расхода рабочей жидкости 200 л/га в конце лета,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2,0; 3,0 и 3,5 кг/га не уступал показателям эталонного гербицида Кайман Форте, ВДГ [687 г/кг Глифосата кислоты (изопропиламинная соль)] при нормах его применения 2,0; 3,0 и 3,5 кг/га.</w:t>
      </w:r>
    </w:p>
    <w:p w14:paraId="23C23FBE" w14:textId="11E20840" w:rsidR="00AF287D" w:rsidRPr="00AF287D" w:rsidRDefault="00AF287D" w:rsidP="001472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второй зоне в 2023 году опыт по определению эффективности гербицида Кэйталин Экстра, ВДГ 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был заложен в Ростовской области (Аксайский р-н, пос. Рассвет, ФГБНУ ФРАНЦ) на полях, предназначенных под посев яровых зерновых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культур, с высоким уровнем засоренности однолетними, многолетними злаковыми и двудольными сорняками.</w:t>
      </w:r>
    </w:p>
    <w:p w14:paraId="6E141172" w14:textId="307C96AC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Через месяц после обработки в контроле на 1 м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43 шт. сорных растений. Наибольшее распространение имели однолетние злаковые: щетинник сизый, куриное просо; многолетние злаковые: пырей ползучий; однолетние двудольные: щирица запрокинутая, марь белая; многолетние двудольные: осот полевой.</w:t>
      </w:r>
    </w:p>
    <w:p w14:paraId="56ACF988" w14:textId="47A1A767" w:rsidR="00AF287D" w:rsidRPr="00AF287D" w:rsidRDefault="00AF287D" w:rsidP="0014728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Результаты применения гербицида Кэйталин Экстра, ВДГ с нормами применения 1,0; 2,0; 3,0 и 3,5 кг/га свидетельствуют о его высокой эффективности в подавлении данных видов сорных растений. Снижение уровня засоренности учитываемыми в опыте сорняками достигло на 30 сутки после обработки - 72,8; 94,0; 100,0 и 100,0 %; на 60 сутки - 67,5; 82,4; 90,3 и 100,0 %; на 90 сутки - 63,7; 77,6; 82,5 и 92,0 %. Соответственно, высокими были показатели и снижения биомассы однолетних двудольных сорняков: на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30 сутки - 84,4; 96,1; 100,0 и 100,0 %, на 60 сутки - 82,1; 88,0; 93,5 и 100,0 %; однолетних злаковых: на 30 сутки - 82,2; 100,0; 100,0 и 100,0 %, на 60 сутки - 82,3; 91,4; 95,7 и 100,0 %; многолетних двудольных сорняков - на 30 сутки - 77,2; 92,3; 100,0 и 100,0 %, на 60 сутки - 77,6; 88,7; 94,3 и 100,0 %; многолетних злаковых сорняков - на 30 сутки - 68,4; 89,4; 100,0 и 100,0 %, на 60 сутки - 63,8; 71,4;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84,2 и 100,0%.</w:t>
      </w:r>
    </w:p>
    <w:p w14:paraId="44EDAE5F" w14:textId="282B96AB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Кайман Форте, ВДГ (2,0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 и 3,5 кг/га) получены столь же высокие показатели подавления однолетних и многолетних двудольных и злаковых сорняков. Снижение количества сорных растений составило: на 30 сутки - 95,5; 100,0 и 100,0 %, на 60 сутки - 85,4; 89,9 и 100,0 %, на 90 сутки - 80,2; 83,2 и 91,8 %. Снижение биомассы однолетних двудольных сорняков: на 30 сутки - 97,3; 100,0 и 100,0 %, на 60 сутки - 90,6; 94,1 и 100,0 %; однолетних злаковых: на 30 сутки - 100,0 %, на 60 сутки - 94,1; 94,8 и 100,0 %; многолетних двудольных сорняков - на 30 сутки - 96,7; 100,0 и 100,0 %, на 60 сутки - 91,9; 95,5 и 100,0 %; многолетних злаковых сорняков - на 30 сутки - 93,3; 100,0 и 100,0 %, на 60 сутки - 89,7; 93,6 и 100,0 %.</w:t>
      </w:r>
    </w:p>
    <w:p w14:paraId="5F520850" w14:textId="77777777" w:rsidR="00147285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Все виды сорных растений, встречающиеся на опытном участке, проявили к гербициду Кэйталин Экстра, ВДГ высокую чувствительность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64B31A12" w14:textId="6B4C8A1E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гербицида Кэйталин Экстра, ВДГ 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540 г/л 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(калиевая соль), проведенные на полях, предназначенных под посев яровых зерновых, во второй почвенно-климатической зоне Российской Федерации в 2023 году с нормами применения 1,0; 2,0; 3,0 и 3,5 кг/га при однократной обработке с нормой расхода рабочей жидкости 200 л/га в конце лета,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2,0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3,5 кг/га не уступал показателям эталонного гербицида Кайман Форте, ВДГ [687 г/кг Глифосата кислоты (изопропиламинная соль)] при нормах его применения 2,0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3,5 кг/га.</w:t>
      </w:r>
    </w:p>
    <w:p w14:paraId="45FC0FC3" w14:textId="368B4EA2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третьей зоне в 2023 году опыт по определению эффективности гербицида Кэйталин Экстра, ВДГ 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14728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лифосата кислоты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(изопропиламинная соль) был заложен в Ростовской области (Орловский р-н, и Красноармейский, ФГУП «Красноармейское») на полях, предназначенных под посев яровых зерновых культур, с высоким уровнем засоренности однолетними, многолетними злаковыми и двудольными сорняками.</w:t>
      </w:r>
    </w:p>
    <w:p w14:paraId="71F582E7" w14:textId="6A16DAD2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Через месяц после обработки в контроле на 1 м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 среднем насчитывалось 35 шт. сорных растений. К однолетним двудольным сорнякам относились: амброзия полыннолистная, марь белая; к многолетним двудольным: бодяк полевой, латук татарский; к однолетним злаковым: просо куриное; к многолетним злаковым: мятлик обыкновенный.</w:t>
      </w:r>
    </w:p>
    <w:p w14:paraId="3CCE1071" w14:textId="298FB520" w:rsidR="00AF287D" w:rsidRPr="00AF287D" w:rsidRDefault="00AF287D" w:rsidP="00503AC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Результаты применения гербицида Кэйталин Экстра, ВДГ с нормами применения 1,0; 2,0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3,5 кг/га свидетельствуют о его высокой эффективности в подавлении данных сорных растений. Снижение уровня засорённости, учитываемой в опыте, достигло соответственно: на 30 сутки после обработки - 83,0; 95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100,0 и 100,0 %; на 60 сутки - 75,5; 85,9; 92,8 и 100,0 %; на 90 сутки - 70,9; 80,5; 85,8 и 92,1 %. Соответственно, высокими были показатели и снижения биомассы однолетних двудольных сорняков: на 30 сутки - 85,1; 100,0;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100,0 и 100,0 %, на 60 сутки - 76,2; 90,4; 100,0 и 100,0 %; однолетних злаковых: на 30 сутки - 90,5; 100,0; 100,0 и 100,0 %, на 60 сутки - 81,0; 90,0; 88,8 и 100,0 %; многолетних двудольных сорняков - на 30 сутки - 85,2; 92,8; 100,0 и 100,0 %, на 60 сутки - 80,5; 86,7; 92,3 и 100,0 %; многолетних злаковых сорняков - на 30 сутки - 84,6; 92,5; 100,0 и 100,0 %, на 60 сутки - 83,8; 89,5; 93,8 и 100,0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30E38DA6" w14:textId="34F82ECA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варианте с эталоном Кайман Форте, ВДГ (2,0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 и 3,5 кг/га) получены столь же высокие показатели подавления однолетних и многолетних двудольных и злаковых сорняков. Снижение количества сорных растений составило: на 30 сутки - 93,9; 100,0 и 100,0 %, на 60 сутки - 84,8; 93,9 и 100,0 %, на 90 сутки - 79,6; 86,9 и 92,5 %. Снижение биомассы однолетних двудольных сорняков: на 30 сутки - 100,0; 100,0 и 100,0 %, на 60 сутки - 90,4; 100,0 и 100,0 %; однолетних злаковых: на 30 сутки - 100,0; 100,0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100,0 %, на 60 сутки - 88,2; 90,6 и 100,0 %; многолетних двудольных сорняков - на 30 сутки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- 91,0, 100,0 и 100,0 %, на 60 сутки - 85,7; 94,3 и 100,0 %; многолетних злаковых сорняков - на 30 сутки - 91,1; 100,0 и 100,0 %, на 60 сутки - 85,7; 95,2 и 100,0 %.</w:t>
      </w:r>
    </w:p>
    <w:p w14:paraId="2E377A43" w14:textId="77777777" w:rsidR="00503ACB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Все виды сорных растений, встречающиеся на опытном участке, проявили к гербициду Кэйталин Экстра, ВДГ высокую чувствительность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24BDD819" w14:textId="0813DEC2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гербицида Кэйталин Экстра, ВДГ 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540 г/л 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(калиевая соль), проведенные на полях, предназначенных под посев яровых зерновых культур, в третьей почвенно-климатической зоне Российской Федерации в 2023 году с нормами применения 1,0; 2,0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3,5 кг/га при однократной обработке с нормой расхода рабочей жидкости 200 л/га в конце лета,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2,0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3,5 кг/га не уступал показателям эталонного гербицида Кайман Форте, ВДГ [687 г/кг Глифосата кислоты (изопропиламинная соль)] при нормах его применения 2,0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3,5 кг/га.</w:t>
      </w:r>
    </w:p>
    <w:p w14:paraId="228BFEB3" w14:textId="703C63F1" w:rsidR="00AF287D" w:rsidRPr="00AF287D" w:rsidRDefault="00AF287D" w:rsidP="00503AC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На землях несельскохозяйственного назначения опыты по оценке биологической эффективности гербицида Кэйталин Экстра, ВДГ 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540 г/л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(калиевая соль) были проведены в Ленинградской области РФ (I зона) в 2023 г. ФБУ «Санкт-Петербургским научно-исследовательским институтом лесного хозяйства». Препарат применяли в нормах применения 1,5; 3,0 и 4,0 кг/га в фазу развития травянистых видов - цветение и начало плодоношения при высоте 30-40 см, а древесных - линейного роста побегов высотой 0,8-1,2 м. В качестве эталона использовали препарат Кайман Форте, ВДГ [687 г/кг Глифосата кислоты (изопропиламинная соль)] в нормах 1,5 и 4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0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кг/га.</w:t>
      </w:r>
    </w:p>
    <w:p w14:paraId="6FB6E12E" w14:textId="19D49A9A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опыте на полосе отвода автодороги гербицид Кэйталин Экстра, ВДГ был применен 21 июня 2023 г. способом опрыскивания в нормах 1,5; 3,0 и 4,0 кг/га против широкого спектра нежелательной травянистой и древесно-кустарниковой растительности. В качестве эталона использовали препарат Кайман Форте, ВДГ в нормах 1,5 и 4,0 кг/га.</w:t>
      </w:r>
    </w:p>
    <w:p w14:paraId="55E99ED7" w14:textId="39E6167F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 опытных вариантах в день обработки, а в контроле в течение периода вегетации проективное покрытие почвы однодольными и двудольными травянистыми растениями составляло 60-69 %. Однодольные виды, в основном, были представлены видами ситника и осоки,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вейником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наземным и щучкой дернистой (34-40 %). Преобладающие двудольные виды в опыте - сныть обыкновенная, бодяк полевой, иван-чай узколистный, таволга вязолист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ая, дудник лесной, мать-и-мачеха обыкновенная, малина обыкновенная (25-32 %). На всех делянках опытного участка наблюдался сходный состав живого напочвенного покрова и степень его развития.</w:t>
      </w:r>
    </w:p>
    <w:p w14:paraId="7E7F8521" w14:textId="04E8F0AB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Через месяц после обработки варианты с гербицидами Кэйталин Экстра, ВДГ и эталоном Кайман Форте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ВДГ в одинаковых нормах (1,5 и 4,0 кг/га) по эффективности подавления травянистой растительности различались незначительно. Увеличение норм применения обоих препаратов сопровождалось повышением биологической эффективности. Так, в вариантах е применением гербицида Кэйталин Экстра, ВДГ, в указанных нормах эффективность подавления однодольных видов растений составила 71 и 86 %; двудольных видов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- 65 и 92 %; всех травянистых видов - 69 и 89 %.</w:t>
      </w:r>
    </w:p>
    <w:p w14:paraId="5D5286D4" w14:textId="549BB0B4" w:rsidR="00AF287D" w:rsidRPr="00AF287D" w:rsidRDefault="00AF287D" w:rsidP="00503AC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Эффективность действия эталона Кайман Форте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ВДГ в таких же нормах на однодольные виды составила 60 и 89 %; на двудольные виды - 65 и 85 %, на все виды - 62 и 87 %. Эффективность подавления однодольных и двудольных видов обоими гербицидами существенно не различалась. Минимальная эффективность была получена в вариантах с нормами препаратов 1,5 кг/га, максимальная - с нормами 4,0 кг/га. Наиболее чувствительными видами оказались купырь лесной, сныть обыкновенная, иван-чай узколистный, мать-и-мачеха обыкновенная, бодяк полевой, таволга вязолист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ая. Относительно высокую устойчивость к обоим гербицидам проявили ситник (виды), осока (виды),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вейник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наземный, дудник лесной, манжетка обыкновенная и малина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обыкновенная.</w:t>
      </w:r>
    </w:p>
    <w:p w14:paraId="491CC1E0" w14:textId="6F0859C5" w:rsidR="00AF287D" w:rsidRPr="00AF287D" w:rsidRDefault="00AF287D" w:rsidP="00503AC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конце августа (63 дня мосле обработки) действие препаратов на однодольные виды значительно увеличилось, на двудольные - в целом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сохранилось на прежнем уровне. В результате эффективность действия на все виды растений несколько повысилась. В вариантах 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гербицидом Кэйталин Экстра, ВДГ, 1,5 и 4,0 кг/га биологическая эффективность действия па однодольные виды растений составила 84 и 95 %, на двудольные 63 и 90 %, в целом па весь травяной покров - 75 и 93 %. Близкие значения были получены и в вариантах е эталоном - 82 и 95 %; 63 и 87 % и 74 и 91 % соответственно. Повышение эффективности объясняется усилением действия гербицидов на относительно устойчивые однодольные виды -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вейник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наземный, ситник (виды), осоку (виды). Началось незначительное вегетативное возобновление двудольных видов - мать-и-мачехи обыкновенной, иван-чая узколистного и малины обыкновенной.</w:t>
      </w:r>
    </w:p>
    <w:p w14:paraId="08F92355" w14:textId="1652F651" w:rsidR="00AF287D" w:rsidRPr="00AF287D" w:rsidRDefault="00AF287D" w:rsidP="00B27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целом, гербициды Кэйталин Экстра</w:t>
      </w:r>
      <w:r w:rsidR="00503A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ВДГ и Кайман Форте, ВДГ, примененные на полосе отвода автодороги в одинаковых нормах, не показали значительных различий по особенностям и эффективности действия на широкий спектр видов травянистой растительности. Минимальных норм применения гербицидов (1,5 кг/га) недостаточно для эффективного подавления некоторых относительно устойчивых многолетних видов трав. Как и при предыдущем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учете, максимальная эффективность действия на травянистую растительность получена в вариантах с нормами обоих гербицидов 4,0 кг/га.</w:t>
      </w:r>
    </w:p>
    <w:p w14:paraId="58CD2375" w14:textId="24A8CA88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Наибольшую чувствительность проявила береза (виды), наибольшую устойчивость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 ива (виды). Так, в зависимости от нормы применения испытываемого гербицида (1,5; 3,0 и 4,0 кг/га) эффективность подавления ивы (виды) составила 63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88 и 97 %, березы (виды) - 100 % (при всех нормах), ольхи серой 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93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99 и 100 %, осины 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87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 и 100 %. Эталон Кайман Форте, ВДГ в нормах 1,5 и 4,0 кг/га показал близкую эффективность подавления лиственных древесно-кустарниковых пород. Так, доля отмерших листьев у ивы (виды) составила 68 и 95 %, у берёзы (виды) - 98 и 100 %, у ольхи серой - 95 и 100 % и у осины - 90 и 100 %. Наиболее низкую биологическую эффективность оба гербицида показали при минимальной норме - 1,5 кг/га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наиболее высокую 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-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при норме 4,0 кг/га. К концу периода вегетации полное отмирание листьев (100 %) во всех опытных вариантах отмечено только у березы (виды). Кроме того, Кэйталин Экстра, ВДГ в нормах 3,0 и 4,0 кг/га, а также эталон в норме 4,0 кг/га вызвали полное отмирание листьев у ольхи серой и осины. Действие обоих препаратов на иву (виды) несколько повысилось во всех вариантах, но полного отмирания листьев не произошло. Тем не менее, эффективность подавления ивы (виды) гербицидом Кэйталин Экстра, ВДГ в нормах 3,0 и 4,0 кг/га высокая - 92 и 98 %, как и эталоном в норме 4,0 кг/га - 97 %. По степени возрастания устойчивости к гербицидам лиственные древесно-кустарниковые породы расположились следующим образом: береза (виды) - ольха серая - осина - ива (виды). Повторного восстановления побегов от корневых систем не наблюдалось. С увеличением нормы применения эффективность действия обоих гербицидов возрастала. Максимальный эффект подавления древесно-кустарниковых пород был достигнут при нормах обоих гербицидов 4,0 кг/га.</w:t>
      </w:r>
    </w:p>
    <w:p w14:paraId="616ECDD5" w14:textId="3251802C" w:rsidR="00AF287D" w:rsidRPr="00AF287D" w:rsidRDefault="00B2713A" w:rsidP="00B27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итоге</w:t>
      </w:r>
      <w:r w:rsidR="00AF287D"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испытания гербицида Кэйталин Экстра, ВДГ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="00AF287D"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="00AF287D"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полосе отвода автодороги, в первой почвенно-климатической зоне Российской Федерации в 2023 году с нормами применения 1,5; 3,0 и 4,0 кг/га при однократной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="00AF287D"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обработке с нормой расхода рабочей жидкости 125 л/га по вегетирующим растениям, показали, что по уровню снижения численности и сырой массы однолетних и многолетних злаковых и двудольных сорняков, а также по влиянию на древесно-кустарниковую растительность испытываемый препарат при нормах применения 3,0 и 4,0 кг/га не уступал показателям эталонного гербицида Кайман Форте, ВДГ [687 г/кг Глифосата кислоты (изопропиламинная соль)] при норме его применения 4,0 кг/га.</w:t>
      </w:r>
    </w:p>
    <w:p w14:paraId="6244A11D" w14:textId="152793D0" w:rsidR="00AF287D" w:rsidRPr="00AF287D" w:rsidRDefault="00AF287D" w:rsidP="00B27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2023 году на трассе продуктопровода в Ленинградской области (Гатчинский район, 1-я зона) гербицид Кэйталин Экстра, ВДГ был применен 24 июня способом опрыскивания в нормах 1,5; 3,0 и 4,0 кг/га против широкого спектра нежелательной травянистой и древесно-кустарниковой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растительности. В качестве эталона использовали препарат Кайман Форте, ВДГ в нормах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1,5 и 4,0 кг/га.</w:t>
      </w:r>
    </w:p>
    <w:p w14:paraId="7DE5C83F" w14:textId="3A35DD6A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опытных вариантах в день обработки, а в контроле в течение периода вегетации проективное покрытие почвы однодольными и двудольными травянистыми растениями составляло 52- 62 % с преобладанием однодольных видов. Однодольные виды, в основном, были представлены несколькими видами ситника и осоки,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вейником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наземным, щучкой дернистой (проективное покрытие 35-44 %). Из двудольных видов в опыте доминировали таволга вязолистная, иван-чай узколистный, сныть обыкновенная, бодяк разнолистный, малина обыкновенная, костяника (проективное покрытие 15-20 %). На всех делянках опытного участка наблюдался сходный состав живого напочвенного покрова и степень его развития.</w:t>
      </w:r>
    </w:p>
    <w:p w14:paraId="7CA68803" w14:textId="77777777" w:rsidR="00B2713A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Через 29 дней после обработки в вариантах с применением гербицида Кэйталин Экстра, ВДГ (1,5; 3,0 и 4,0 кг/га) эффективность подавления однодольных видов травянистых растений составила 74; 82 и 92 %, двудольных 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56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81 и 94 %, всех травянистых видов 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69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81 и 93 %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638F1E4E" w14:textId="29EAC346" w:rsidR="00AF287D" w:rsidRPr="00AF287D" w:rsidRDefault="00AF287D" w:rsidP="00B27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Действие эталона Кайман Форте, ВДГ' в нормах 1,5 и 4,0 кг/га отличалось незначительно: снижение проективного покрытия почвы однодольными, двудольными и всеми видами травянистой растительности составило 76 и 95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%, 62 и 88 %, 72 и 93 % соответственно. Эффективность действия гербицидов повышалась с увеличением нормы применения. Такие виды, как щучка дернистая, таволга вязолист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ая, иван-чай узколистный, сныть обыкновенная, бодяк разнолистный оказались высокочувствительными к действию препарата Кэйталин Экстра, ВДГ в нормах 3,0 и 4,0 кг/га и действию эталона в норме 4,0 кг/га. Относительно высокую устойчивость к обоим препаратам проявили ситник (виды), осока (виды),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вейник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наземный, малина обыкновенная и костяника.</w:t>
      </w:r>
    </w:p>
    <w:p w14:paraId="048A7FFD" w14:textId="108C6C2D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конце вегетационного сезона (60 дней после обработки) в вариантах с применением гербицидов Кэйталин Экстра, ВДГ и эталона Каймам Форте, ВДГ во всех нормах биологическая эффективность подавления травянистой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растительности увеличилась. Так, данные показатели действия испытываемого гербицида в нормах 1,5; 3,0 и 4,0 кг/га на однодольные растения возросли до 79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90 и 95 %, на двудольные - до 94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94 и 100 % и на все виды - до 83; 92 и 97 % соответственно. Близкие показатели получены в вариантах с эталоном Кайман Форте, ВДГ в одинаковых нормах применения.</w:t>
      </w:r>
    </w:p>
    <w:p w14:paraId="11F42024" w14:textId="13DC73DC" w:rsidR="00AF287D" w:rsidRPr="00AF287D" w:rsidRDefault="00AF287D" w:rsidP="00B27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Во всех вариантах опыта выделены наиболее устойчивые виды - ситник (виды), осока (виды),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вейник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наземный, малина обыкновенная и костяника.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Существенной разницы в эффективности и спектре действия на травянистую растительность между эталонным препаратом и гербицидом Кэйталин Экстра, ВДГ в одинаковых нормах не наблюдалось.</w:t>
      </w:r>
    </w:p>
    <w:p w14:paraId="5D81AF43" w14:textId="1455A684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Эффективное действие гербицида Кэйталин Экстра, ВДГ на все имеющиеся в опыте лиственные древесно-кустарниковые породы проявилось уже через месяц после обработки. В вариантах с нормами 1,5; 3,0 и 4,0 кг/га испытываемого препарата доля отмерших листьев у ивы (виды) составила 70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91 и 98 %, у берёзы (виды) 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98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 и 100 %;у осины - 93; 100 и 100 %.</w:t>
      </w:r>
    </w:p>
    <w:p w14:paraId="2DF7ED3B" w14:textId="14B372E4" w:rsidR="00AF287D" w:rsidRPr="00AF287D" w:rsidRDefault="00AF287D" w:rsidP="00B2713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Эталон Кайман Форте, ВДГ в нормах 1,5 и 4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,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0 кг/га показал близкое по эффективности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арборицидное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действие: ива (виды) - 69 и 98 %, берёза (виды) - 100 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и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100 %, осина - 91 и 100 %. В варианте с нормами обоих гербицидов 4,0 кг/га, а также в варианте с испытываемым препаратом в норме 3,0 кг/га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наблюдалось полное отмирание листьев березы (виды) и осины. Через месяц после обработки наиболее чувствительной к обоим гербицидам оказалась береза (виды), наиболее устойчивой - ива (виды</w:t>
      </w:r>
      <w:r w:rsidR="00B2713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1B54CAE0" w14:textId="58BAE760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конце периода вегетации эффективность подавления древесно-кустарниковой растительности в вариантах с нормами гербицидов 1,5 кг/га повысилась, а с более высокими нормами полностью сохранилась. Кэйталин Экстра, ВДГ и Кайман Форте, ВДГ в одинаковых нормах показали близкую эффективность. Так, листья у березы (виды) и осины полностью отмерли во всех опытных вариантах. В вариантах с нормами гербицидов 4,0 кг/га полностью отмерли все лиственные древесно-кустарниковые породы - ива (виды), береза (виды) и осина. В минимальных нормах (1,5 кг/га) действие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обоих препаратов оказалось недостаточно эффективным на относительно устойчивую иву (виды). Восстановления от корневых систем не отмечено. По степени возрастания устойчивости к гербицидам лиственные древесно-кустарниковые породы расположились следующим образом: береза (виды) - осина - ива (виды).</w:t>
      </w:r>
    </w:p>
    <w:p w14:paraId="1EF7B012" w14:textId="1962B073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общем, испытания гербицида Кэйталин Экстра, ВДГ 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трассе продуктопровода, в первой почвенно-климатической зоне Российской Федерации в 2023 году с нормами применения 1,5; 3,0 и 4,0 кг/га при однократной обработке с нормой расхода рабочей жидкости 125 л/га по вегетирующим растениям, показали, что по уровню снижения численности и сырой массы однолетних и многолетних злаковых и двудольных сорняков, а также по влиянию на древесно-кустарниковую растительность испытываемый препарат при нормах применения 3,0 и 4,0 кг/га не уступал показателям эталонного гербицида Кайман Форте, ВДГ [687 г/кг Глифосата кислоты (изопропиламинная соль)] при норме его применения 4,0 кг/га.</w:t>
      </w:r>
    </w:p>
    <w:p w14:paraId="742CB70F" w14:textId="3433BC11" w:rsidR="00AF287D" w:rsidRPr="00AF287D" w:rsidRDefault="00AF287D" w:rsidP="006909C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2023 году опыт по оценке биологической эффективности гербицида Кэйталин Экстра, ВДГ 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на железнодорожном полотне был проведен в 1-ой почвенно-климатической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зоне (Ленинградская область, Гатчинский район, железнодорожная станция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Строганово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).</w:t>
      </w:r>
    </w:p>
    <w:p w14:paraId="7277AA50" w14:textId="2A1A61CD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опыте на железнодорожном полотне гербицид Кэйталин Экстра, ВДГ был применен 1 июня 2023 года способом опрыскивания в нормах применения 1,5; 3,0 и 4,0 кг/га против широкого спектра нежелательной травянистой растительности. В качестве эталона использовали препарат Кайман Форте, ВДГ в нормах 1,5 и 4,0 кг/га.</w:t>
      </w:r>
    </w:p>
    <w:p w14:paraId="73CDC69B" w14:textId="49E87236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день обработки в составе травяного покрова на опытных делянках, а в контроле в течение всего периода вегетации преобладали многолетние виды растений. Из однодольных видов доминировали ежа сборная, полевица тонкая и пырей ползучий (проективное покрытие 18-24 %)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из двудольных - сныть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обыкновенная, пижма обыкновенная, полынь обыкновенная, купырь лесной, бодяк полевой, иван-чай узколистный, крапива двудомная (проективное покрытие 38-47 %). Обилие двудольных видов значительно выше. Общее проективное покрытие почвы травянистыми видами растений составляло 60-69 % . Проективное покрытие почвы хвощом полевым 3-4 % - этот вид учитывался отдельно. Все делянки опытного участка были весьма близки между собой по составу и степени развития травянистой растительности.</w:t>
      </w:r>
    </w:p>
    <w:p w14:paraId="384918C7" w14:textId="6E837146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Через месяц после обработки наблюдалась высокая эффективность действия на сорняки при применении гербицида Кэйталин Экстра, ВДГ во всех трех нормах (1,5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3,0 и 4,0 кг/га) - общее проективное покрытие почвы травами в этих вариантах снизилось с 61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% в контроле до 5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4 и 1 % соответственно.</w:t>
      </w:r>
    </w:p>
    <w:p w14:paraId="58E6FD78" w14:textId="7A3B6644" w:rsidR="00AF287D" w:rsidRPr="00AF287D" w:rsidRDefault="00AF287D" w:rsidP="006909C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этом однодольные виды были подавлены на 95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95 и 100 %, двудольные - на 90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93 и 98 %. В варианте Кэйталин Экстра, ВДГ 1,5 кг/га полностью отмерли ежа сборная, полевица тонкая, лисохвост луговой, бор развесистый, пырей ползучий,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трёреберник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непахучий и пастушья сумка обыкновенная: остальные виды находились в поврежденном состоянии. В вариантах с применением препарата Кэйталин Экстра, ВДГ в нормах 3,0 и 4,0 кг/га наблюдалось отмирание большинства имевшихся видов, как однодольных, так и двудольных: из злаков с сильными повреждениями частично сохранился только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proofErr w:type="spellStart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вейник</w:t>
      </w:r>
      <w:proofErr w:type="spellEnd"/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наземный; их двудольных видов - крапива двудомная, тысячелистник обыкновенный, люпин многолистный, малина обыкновенная, подмаренник настоящий и клевер луговой.</w:t>
      </w:r>
    </w:p>
    <w:p w14:paraId="219E9F4D" w14:textId="109EE9A1" w:rsidR="00AF287D" w:rsidRPr="00AF287D" w:rsidRDefault="00AF287D" w:rsidP="006909C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Эффективность и спектр действия эталона Кайман Форте, ВДГ существенно не отличались от показателей испытываемого гербицида: снижение проективного покрытия почвы однодольными, двудольными и всеми видами травянистой растительности при норме препарата 1,5 кг/га составило 95; 93 и 93 %; при норме 4,0 кг/га 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–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100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;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95 и 97 % соответственно. После применения обоих гербицидов во всех нормах хвощ полевой находился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повреждённом состоянии (проективное покрытие 2-3 %, в контроле - 4-5 %), его отмирания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 наблюдалось.</w:t>
      </w:r>
    </w:p>
    <w:p w14:paraId="3029D375" w14:textId="6278FD1F" w:rsidR="00AF287D" w:rsidRPr="00AF287D" w:rsidRDefault="00AF287D" w:rsidP="006909C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конце периода вегетации (82 дня после обработки) эффективность действия обоих препаратов несколько снизилась во всех вариантах. Крапива двудомная, иван-чай узколистный, бодяк полевой, сныть обыкновенная, пижма обыкновенная и малина обыкновенная начали постепенно восстанавливаться вегетативным способом, причем наиболее интенсивно в вариантах с нормами гербицидов 1,5 кг/га. В вариантах с нормами препаратов 4,0 кг/га восстановления однодольных видов не наблюдалось. Также во всех опытных вариантах началось семенное возобновление одуванчика лекарственного и пастушьей сумки обыкновенной. Тем не менее, эффективность действия гербицида Кэйталин Экстра, ВДГ в нормах 3,0 и 4,0 кг/га оставалась достаточно высокой - 86 и 89 %. Обилие хвоща полевого в опытных вариантах составляло около 4-5 % (в контроле - 7-8 %), внешние признаки повреждений отсутствовали.</w:t>
      </w:r>
    </w:p>
    <w:p w14:paraId="4FA1F231" w14:textId="72636437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 данным предыдущего учета, существенной разницы по спектру и эффективности действия гербицидов Кэйталин Экстра, ВДГ и Кайман Форте, ВДГ в одинаковых нормах применения не зафиксировано.</w:t>
      </w:r>
    </w:p>
    <w:p w14:paraId="540F5BAA" w14:textId="0D8DD19F" w:rsidR="00AF287D" w:rsidRPr="00AF287D" w:rsidRDefault="00AF287D" w:rsidP="006909C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целом, испытания гербицида Кэйталин Экстра, ВДГ 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соль), проведенные на железнодорожном полотне в первой почвенно-климатической зоне Российской Федерации в 2023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году с нормами применения 1,5; 3,0 и 4,0 кг/га при однократной обработке с нормой расхода рабочей жидкости 125 л/га по вегетирующим растениям, показали, что по уровню снижения численности и сырой массы однолетних и многолетних злаковых и двудольных сорняков испытываемый препарат при нормах применения 3,0 и 4,0 кг/га не уступал показателям эталонного гербицида Кайман Форте, ВДГ [687 г/кг Глифосата кислоты (изопропиламинная соль)] при нормах его применения 4,0 кг/га.</w:t>
      </w:r>
    </w:p>
    <w:p w14:paraId="6C3C6285" w14:textId="544AEEA0" w:rsidR="00AF287D" w:rsidRPr="00AF287D" w:rsidRDefault="00AF287D" w:rsidP="00AF287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Таким образом, результаты опытов на парах; полях, предназначенных под посев яровых зерновых культур; землях несельскохозяйственного назначения 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 xml:space="preserve">в 2022-2023 годах подтвердили высокую эффективность препарата Кэйталин Экстра, ВДГ 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 w:rsidR="006909CB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AF287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в качестве гербицида, не уступающую эффективности эталона, против сорной и древесно-кустарниковой растительности борьба с которыми представляет серьезную проблему.</w:t>
      </w:r>
    </w:p>
    <w:p w14:paraId="04E79272" w14:textId="77777777" w:rsidR="006909CB" w:rsidRPr="00973E48" w:rsidRDefault="006909CB" w:rsidP="006909C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Автономная Некоммерческая Организация «Агрохимический инновационный центр развития сельскохозяйственной науки и производства» (АНО «АИЦ»), рассмотрев материалы ООО «</w:t>
      </w:r>
      <w:proofErr w:type="spellStart"/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Пролайн</w:t>
      </w:r>
      <w:proofErr w:type="spellEnd"/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», отчеты АНО «АИЦ» о положительных результатах испытаний препарата Кэйталин Экстра, ВДГ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лифосата кислоты (изопропиламинная соль) на парах; полях, предназначенных под посев яровых зерновых культур и землях несельскохозяйственного назначения, а также учитывая, что Глифосат, действующее вещество препарата Кэйталин Экстра, ВДГ, хорошо изучен, и эффективность препаратов на его основе подтверждена многолетним опытом применения на парах; полях, предназначенных под посев яровых зерновых культур; землях несельскохозяйственного назначения, а эффективность самого препарата на парах; полях, предназначенных под посев яровых зерновых культур; землях несельскохозяйственного назначения подтверждена результатами опытов 2022-2023 гг., считает, что дополнительных испытаний препарата Кэйталин Экстра, ВДГ в целях разработки биологических регламентов его применения не требуется, и рекомендует препарат Кэйталин Экстра, ВДГ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687 г/кг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лифосата кислоты (изопропиламинная соль) для регистрации сроком на 10 лет и применения на всей территории Российской Федерации в качестве гербицида на парах; полях,</w:t>
      </w:r>
      <w:r w:rsidRPr="00973E48">
        <w:rPr>
          <w:rFonts w:ascii="Times New Roman CYR" w:hAnsi="Times New Roman CYR" w:cs="Times New Roman CYR"/>
          <w:color w:val="323232"/>
          <w:kern w:val="0"/>
          <w:sz w:val="26"/>
          <w:szCs w:val="26"/>
        </w:rPr>
        <w:t xml:space="preserve"> </w:t>
      </w:r>
      <w:r w:rsidRPr="00973E4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предназначенных под посев яровых зерновых культур; землях несельскохозяйственного назначения против однолетних и многолетних сорных растений, а также против древесно-кустарниковой растительности по регламентам.</w:t>
      </w:r>
    </w:p>
    <w:p w14:paraId="4A517FEF" w14:textId="77777777" w:rsidR="00674A8D" w:rsidRPr="00674A8D" w:rsidRDefault="00674A8D" w:rsidP="00674A8D">
      <w:pPr>
        <w:spacing w:line="25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3A5D2C2" w14:textId="1469FB78" w:rsidR="00674A8D" w:rsidRPr="00674A8D" w:rsidRDefault="00674A8D" w:rsidP="00674A8D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300" w:name="_Toc142312917"/>
      <w:bookmarkStart w:id="301" w:name="_Toc146806479"/>
      <w:bookmarkStart w:id="302" w:name="_Toc146806523"/>
      <w:bookmarkStart w:id="303" w:name="_Toc147327252"/>
      <w:bookmarkStart w:id="304" w:name="_Toc147327686"/>
      <w:bookmarkStart w:id="305" w:name="_Toc147930827"/>
      <w:bookmarkStart w:id="306" w:name="_Toc147930855"/>
      <w:bookmarkStart w:id="307" w:name="_Toc152336456"/>
      <w:bookmarkStart w:id="308" w:name="_Toc152336484"/>
      <w:bookmarkStart w:id="309" w:name="_Toc153455318"/>
      <w:bookmarkStart w:id="310" w:name="_Toc161226491"/>
      <w:bookmarkStart w:id="311" w:name="_Toc161226519"/>
      <w:bookmarkStart w:id="312" w:name="_Toc162516282"/>
      <w:bookmarkStart w:id="313" w:name="_Toc165976692"/>
      <w:bookmarkStart w:id="314" w:name="_Toc180068307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5. ОПИСАНИЕ ВОЗМОЖНЫХ ВИДОВ ВОЗДЕЙСТВИЯ НА ОКРУЖАЮЩУЮ СРЕДУ ПРИ ПРИМЕНЕНИИ </w:t>
      </w:r>
      <w:bookmarkStart w:id="315" w:name="_Toc509777878"/>
      <w:bookmarkStart w:id="316" w:name="_Toc511062154"/>
      <w:bookmarkStart w:id="317" w:name="_Toc514173472"/>
      <w:bookmarkStart w:id="318" w:name="_Toc524340267"/>
      <w:bookmarkStart w:id="319" w:name="_Toc535397794"/>
      <w:bookmarkStart w:id="320" w:name="_Toc536568104"/>
      <w:bookmarkStart w:id="321" w:name="_Toc2704426"/>
      <w:bookmarkStart w:id="322" w:name="_Toc3830534"/>
      <w:bookmarkStart w:id="323" w:name="_Toc4525466"/>
      <w:bookmarkStart w:id="324" w:name="_Toc6338928"/>
      <w:bookmarkStart w:id="325" w:name="_Toc17396545"/>
      <w:bookmarkStart w:id="326" w:name="_Toc17475384"/>
      <w:bookmarkStart w:id="327" w:name="_Toc18075493"/>
      <w:bookmarkStart w:id="328" w:name="_Toc18348520"/>
      <w:bookmarkStart w:id="329" w:name="_Toc34139030"/>
      <w:bookmarkStart w:id="330" w:name="_Toc35815206"/>
      <w:bookmarkStart w:id="331" w:name="_Toc36485686"/>
      <w:bookmarkStart w:id="332" w:name="_Toc59522969"/>
      <w:bookmarkStart w:id="333" w:name="_Toc64364598"/>
      <w:bookmarkStart w:id="334" w:name="_Toc64475879"/>
      <w:bookmarkStart w:id="335" w:name="_Toc67393800"/>
      <w:bookmarkStart w:id="336" w:name="_Toc73102978"/>
      <w:bookmarkStart w:id="337" w:name="_Toc81387592"/>
      <w:bookmarkStart w:id="338" w:name="_Toc84337351"/>
      <w:bookmarkStart w:id="339" w:name="_Toc84585418"/>
      <w:bookmarkStart w:id="340" w:name="_Toc84944515"/>
      <w:bookmarkStart w:id="341" w:name="_Toc85115214"/>
      <w:bookmarkStart w:id="342" w:name="_Toc86134140"/>
      <w:bookmarkStart w:id="343" w:name="_Toc86225725"/>
      <w:bookmarkStart w:id="344" w:name="_Toc87886832"/>
      <w:bookmarkStart w:id="345" w:name="_Toc90285467"/>
      <w:bookmarkStart w:id="346" w:name="_Toc93070188"/>
      <w:bookmarkStart w:id="347" w:name="_Toc94033120"/>
      <w:bookmarkStart w:id="348" w:name="_Toc98152411"/>
      <w:bookmarkStart w:id="349" w:name="_Toc98332351"/>
      <w:bookmarkStart w:id="350" w:name="_Toc100677515"/>
      <w:bookmarkStart w:id="351" w:name="_Toc108518112"/>
      <w:bookmarkStart w:id="352" w:name="_Toc114671847"/>
      <w:bookmarkStart w:id="353" w:name="_Toc117779319"/>
      <w:bookmarkStart w:id="354" w:name="_Toc119331994"/>
      <w:bookmarkStart w:id="355" w:name="_Toc121484005"/>
      <w:bookmarkStart w:id="356" w:name="_Toc124780556"/>
      <w:bookmarkStart w:id="357" w:name="_Toc124846627"/>
      <w:bookmarkStart w:id="358" w:name="_Toc125368942"/>
      <w:bookmarkStart w:id="359" w:name="_Toc125375403"/>
      <w:bookmarkStart w:id="360" w:name="_Toc126836553"/>
      <w:bookmarkStart w:id="361" w:name="_Toc126938662"/>
      <w:bookmarkStart w:id="362" w:name="_Toc127184007"/>
      <w:bookmarkStart w:id="363" w:name="_Toc135160836"/>
      <w:bookmarkStart w:id="364" w:name="_Toc135216958"/>
      <w:bookmarkStart w:id="365" w:name="_Toc13895256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674A8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КЭЙТАЛИН</w:t>
      </w:r>
      <w:r w:rsidR="000337EC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ЭКСТРА</w:t>
      </w:r>
      <w:r w:rsidRPr="00674A8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="000337EC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ВДГ</w:t>
      </w:r>
      <w:bookmarkEnd w:id="314"/>
      <w:r w:rsidRPr="00674A8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7B933BA2" w14:textId="77777777" w:rsidR="00674A8D" w:rsidRPr="00674A8D" w:rsidRDefault="00674A8D" w:rsidP="00674A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53052F9B" w14:textId="77777777" w:rsidR="006909CB" w:rsidRPr="006909CB" w:rsidRDefault="006909CB" w:rsidP="006909C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6909CB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 основании токсиколого-гигиенической оценки действующего вещества глифосата и препаративной формы в соответствии с действующей гигиенической классификацией пестицидов по степени опасности (МР № 1.2.0235-21 от 15.02.2021) с учетом онкогенной опасности действующего вещества, препарат Кэйталин Экстра, ВДГ (687 г/кг глифосата кислоты (изопропиламинная соль), отнесен ко 2 классу опасности (высоко опасное вещество), 2 класс по стойкости в почве.</w:t>
      </w:r>
    </w:p>
    <w:p w14:paraId="3C7A5DC9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</w:p>
    <w:p w14:paraId="3D6CB173" w14:textId="77777777" w:rsidR="00674A8D" w:rsidRPr="00674A8D" w:rsidRDefault="00674A8D" w:rsidP="00674A8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66" w:name="_Toc142312918"/>
      <w:bookmarkStart w:id="367" w:name="_Toc146806480"/>
      <w:bookmarkStart w:id="368" w:name="_Toc146806524"/>
      <w:bookmarkStart w:id="369" w:name="_Toc147327253"/>
      <w:bookmarkStart w:id="370" w:name="_Toc147327687"/>
      <w:bookmarkStart w:id="371" w:name="_Toc147930828"/>
      <w:bookmarkStart w:id="372" w:name="_Toc147930856"/>
      <w:bookmarkStart w:id="373" w:name="_Toc152336457"/>
      <w:bookmarkStart w:id="374" w:name="_Toc152336485"/>
      <w:bookmarkStart w:id="375" w:name="_Toc153455319"/>
      <w:bookmarkStart w:id="376" w:name="_Toc161226492"/>
      <w:bookmarkStart w:id="377" w:name="_Toc161226520"/>
      <w:bookmarkStart w:id="378" w:name="_Toc162516283"/>
      <w:bookmarkStart w:id="379" w:name="_Toc165976693"/>
      <w:bookmarkStart w:id="380" w:name="_Toc180068308"/>
      <w:r w:rsidRPr="00674A8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5.1. Оценка воздействия на атмосфер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r w:rsidRPr="00674A8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ный воздух</w:t>
      </w:r>
      <w:bookmarkEnd w:id="380"/>
    </w:p>
    <w:p w14:paraId="5F5B5880" w14:textId="648E4CAA" w:rsidR="006909CB" w:rsidRPr="006909CB" w:rsidRDefault="006909CB" w:rsidP="006909C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909CB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В связи с низкой летучестью д.в., при применении пестицида Кэйталин Экстра, ВДГ риск загрязнения атмосферного воздуха практически отсутствует.</w:t>
      </w:r>
    </w:p>
    <w:p w14:paraId="743F988D" w14:textId="77777777" w:rsidR="00674A8D" w:rsidRPr="00674A8D" w:rsidRDefault="00674A8D" w:rsidP="00674A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46CC487E" w14:textId="77777777" w:rsidR="00674A8D" w:rsidRPr="00674A8D" w:rsidRDefault="00674A8D" w:rsidP="00674A8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81" w:name="_Toc84337353"/>
      <w:bookmarkStart w:id="382" w:name="_Toc85550168"/>
      <w:bookmarkStart w:id="383" w:name="_Toc86323515"/>
      <w:bookmarkStart w:id="384" w:name="_Toc87968339"/>
      <w:bookmarkStart w:id="385" w:name="_Toc88058500"/>
      <w:bookmarkStart w:id="386" w:name="_Toc88151521"/>
      <w:bookmarkStart w:id="387" w:name="_Toc91591974"/>
      <w:bookmarkStart w:id="388" w:name="_Toc92791537"/>
      <w:bookmarkStart w:id="389" w:name="_Toc92881593"/>
      <w:bookmarkStart w:id="390" w:name="_Toc94105298"/>
      <w:bookmarkStart w:id="391" w:name="_Toc103690710"/>
      <w:bookmarkStart w:id="392" w:name="_Toc110416923"/>
      <w:bookmarkStart w:id="393" w:name="_Toc110520866"/>
      <w:bookmarkStart w:id="394" w:name="_Toc124846629"/>
      <w:bookmarkStart w:id="395" w:name="_Toc125368944"/>
      <w:bookmarkStart w:id="396" w:name="_Toc125375405"/>
      <w:bookmarkStart w:id="397" w:name="_Toc126836555"/>
      <w:bookmarkStart w:id="398" w:name="_Toc126938664"/>
      <w:bookmarkStart w:id="399" w:name="_Toc127184009"/>
      <w:bookmarkStart w:id="400" w:name="_Toc135160838"/>
      <w:bookmarkStart w:id="401" w:name="_Toc135216960"/>
      <w:bookmarkStart w:id="402" w:name="_Toc138952571"/>
      <w:bookmarkStart w:id="403" w:name="_Toc142312920"/>
      <w:bookmarkStart w:id="404" w:name="_Toc146806482"/>
      <w:bookmarkStart w:id="405" w:name="_Toc146806526"/>
      <w:bookmarkStart w:id="406" w:name="_Toc147327255"/>
      <w:bookmarkStart w:id="407" w:name="_Toc147327689"/>
      <w:bookmarkStart w:id="408" w:name="_Toc147930830"/>
      <w:bookmarkStart w:id="409" w:name="_Toc147930858"/>
      <w:bookmarkStart w:id="410" w:name="_Toc152336459"/>
      <w:bookmarkStart w:id="411" w:name="_Toc152336487"/>
      <w:bookmarkStart w:id="412" w:name="_Toc153455321"/>
      <w:bookmarkStart w:id="413" w:name="_Toc161226494"/>
      <w:bookmarkStart w:id="414" w:name="_Toc161226522"/>
      <w:bookmarkStart w:id="415" w:name="_Toc162516285"/>
      <w:bookmarkStart w:id="416" w:name="_Toc165976695"/>
      <w:bookmarkStart w:id="417" w:name="_Toc180068309"/>
      <w:r w:rsidRPr="00674A8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5.2. Оценка воздействия на поверхностные водные ресурсы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00F4CF83" w14:textId="5E6A32A0" w:rsidR="008F359C" w:rsidRPr="008F359C" w:rsidRDefault="008F359C" w:rsidP="008F35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359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Прогноз поведения глифосата кислоты и ее метаболита АМРА в поверхностных водах показал, что максимальная концентрация веществ прогнозируется на уровне 25,3 и 4,8 мкг/л, соответственно. Вещества быстро исчезают из водной фазы, сорбируясь донными осадками, где их содержание достигает 1,38 и 0,46 мг/кг.</w:t>
      </w:r>
    </w:p>
    <w:p w14:paraId="4AC99208" w14:textId="3AD1EB2A" w:rsidR="008F359C" w:rsidRPr="008F359C" w:rsidRDefault="008F359C" w:rsidP="008F35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359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Максимальная концентрация водного метаболита глифосата кислоты НМРА прогнозируется на уровне 2,5 мкг/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л.</w:t>
      </w:r>
    </w:p>
    <w:p w14:paraId="33C6BECC" w14:textId="77777777" w:rsidR="00674A8D" w:rsidRPr="00674A8D" w:rsidRDefault="00674A8D" w:rsidP="00674A8D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6A925A7E" w14:textId="77777777" w:rsidR="00674A8D" w:rsidRPr="00674A8D" w:rsidRDefault="00674A8D" w:rsidP="00674A8D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418" w:name="_Toc84337355"/>
      <w:bookmarkStart w:id="419" w:name="_Toc85550170"/>
      <w:bookmarkStart w:id="420" w:name="_Toc86323517"/>
      <w:bookmarkStart w:id="421" w:name="_Toc87968341"/>
      <w:bookmarkStart w:id="422" w:name="_Toc88058502"/>
      <w:bookmarkStart w:id="423" w:name="_Toc89261519"/>
      <w:bookmarkStart w:id="424" w:name="_Toc89781502"/>
      <w:bookmarkStart w:id="425" w:name="_Toc89867961"/>
      <w:bookmarkStart w:id="426" w:name="_Toc91236949"/>
      <w:bookmarkStart w:id="427" w:name="_Toc91591976"/>
      <w:bookmarkStart w:id="428" w:name="_Toc92791539"/>
      <w:bookmarkStart w:id="429" w:name="_Toc92881595"/>
      <w:bookmarkStart w:id="430" w:name="_Toc94012137"/>
      <w:bookmarkStart w:id="431" w:name="_Toc98316377"/>
      <w:bookmarkStart w:id="432" w:name="_Toc100072100"/>
      <w:bookmarkStart w:id="433" w:name="_Toc109750156"/>
      <w:bookmarkStart w:id="434" w:name="_Toc112743826"/>
      <w:bookmarkStart w:id="435" w:name="_Toc112766147"/>
      <w:bookmarkStart w:id="436" w:name="_Toc114734051"/>
      <w:bookmarkStart w:id="437" w:name="_Toc124846631"/>
      <w:bookmarkStart w:id="438" w:name="_Toc125368946"/>
      <w:bookmarkStart w:id="439" w:name="_Toc125375407"/>
      <w:bookmarkStart w:id="440" w:name="_Toc126836557"/>
      <w:bookmarkStart w:id="441" w:name="_Toc126938666"/>
      <w:bookmarkStart w:id="442" w:name="_Toc127184011"/>
      <w:bookmarkStart w:id="443" w:name="_Toc135160840"/>
      <w:bookmarkStart w:id="444" w:name="_Toc135216962"/>
      <w:bookmarkStart w:id="445" w:name="_Toc138952573"/>
      <w:bookmarkStart w:id="446" w:name="_Toc142312922"/>
      <w:bookmarkStart w:id="447" w:name="_Toc146806484"/>
      <w:bookmarkStart w:id="448" w:name="_Toc146806528"/>
      <w:bookmarkStart w:id="449" w:name="_Toc147327257"/>
      <w:bookmarkStart w:id="450" w:name="_Toc147327691"/>
      <w:bookmarkStart w:id="451" w:name="_Toc147930832"/>
      <w:bookmarkStart w:id="452" w:name="_Toc147930860"/>
      <w:bookmarkStart w:id="453" w:name="_Toc152336461"/>
      <w:bookmarkStart w:id="454" w:name="_Toc152336489"/>
      <w:bookmarkStart w:id="455" w:name="_Toc153455323"/>
      <w:bookmarkStart w:id="456" w:name="_Toc161226496"/>
      <w:bookmarkStart w:id="457" w:name="_Toc161226524"/>
      <w:bookmarkStart w:id="458" w:name="_Toc162516287"/>
      <w:bookmarkStart w:id="459" w:name="_Toc165976697"/>
      <w:bookmarkStart w:id="460" w:name="_Toc180068310"/>
      <w:r w:rsidRPr="00674A8D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5.3. </w:t>
      </w:r>
      <w:r w:rsidRPr="00674A8D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геологическую среду и подземные воды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0BA6916F" w14:textId="77777777" w:rsidR="00674A8D" w:rsidRPr="00674A8D" w:rsidRDefault="00674A8D" w:rsidP="00674A8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A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Препарат не оказывает воздействия на геологическую среду.</w:t>
      </w:r>
    </w:p>
    <w:p w14:paraId="45E7CF5C" w14:textId="6607C5E9" w:rsidR="008F359C" w:rsidRPr="008F359C" w:rsidRDefault="008F359C" w:rsidP="008F35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5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Риск загрязнения грунтовых вод глифосата кислотой и ее метаболитом АМРА отсутствует - за пределы 1 м слоя почв вынос веществ не прогнозируется.</w:t>
      </w:r>
    </w:p>
    <w:p w14:paraId="1B0A3DE2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72F4C896" w14:textId="77777777" w:rsidR="00674A8D" w:rsidRPr="00674A8D" w:rsidRDefault="00674A8D" w:rsidP="00674A8D">
      <w:pPr>
        <w:keepNext/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461" w:name="_Toc84337357"/>
      <w:bookmarkStart w:id="462" w:name="_Toc84585424"/>
      <w:bookmarkStart w:id="463" w:name="_Toc84944521"/>
      <w:bookmarkStart w:id="464" w:name="_Toc85115220"/>
      <w:bookmarkStart w:id="465" w:name="_Toc86134146"/>
      <w:bookmarkStart w:id="466" w:name="_Toc86225731"/>
      <w:bookmarkStart w:id="467" w:name="_Toc87886838"/>
      <w:bookmarkStart w:id="468" w:name="_Toc90285473"/>
      <w:bookmarkStart w:id="469" w:name="_Toc93070194"/>
      <w:bookmarkStart w:id="470" w:name="_Toc94033126"/>
      <w:bookmarkStart w:id="471" w:name="_Toc98152417"/>
      <w:bookmarkStart w:id="472" w:name="_Toc98332357"/>
      <w:bookmarkStart w:id="473" w:name="_Toc100677521"/>
      <w:bookmarkStart w:id="474" w:name="_Toc108518118"/>
      <w:bookmarkStart w:id="475" w:name="_Toc114671853"/>
      <w:bookmarkStart w:id="476" w:name="_Toc117779325"/>
      <w:bookmarkStart w:id="477" w:name="_Toc119332000"/>
      <w:bookmarkStart w:id="478" w:name="_Toc121484011"/>
      <w:bookmarkStart w:id="479" w:name="_Toc124780562"/>
      <w:bookmarkStart w:id="480" w:name="_Toc124846633"/>
      <w:bookmarkStart w:id="481" w:name="_Toc125368948"/>
      <w:bookmarkStart w:id="482" w:name="_Toc125375409"/>
      <w:bookmarkStart w:id="483" w:name="_Toc126836559"/>
      <w:bookmarkStart w:id="484" w:name="_Toc126938668"/>
      <w:bookmarkStart w:id="485" w:name="_Toc127184013"/>
      <w:bookmarkStart w:id="486" w:name="_Toc135160842"/>
      <w:bookmarkStart w:id="487" w:name="_Toc135216964"/>
      <w:bookmarkStart w:id="488" w:name="_Toc138952575"/>
      <w:bookmarkStart w:id="489" w:name="_Toc142312924"/>
      <w:bookmarkStart w:id="490" w:name="_Toc146806486"/>
      <w:bookmarkStart w:id="491" w:name="_Toc146806530"/>
      <w:bookmarkStart w:id="492" w:name="_Toc147327259"/>
      <w:bookmarkStart w:id="493" w:name="_Toc147327693"/>
      <w:bookmarkStart w:id="494" w:name="_Toc147930834"/>
      <w:bookmarkStart w:id="495" w:name="_Toc147930862"/>
      <w:bookmarkStart w:id="496" w:name="_Toc152336463"/>
      <w:bookmarkStart w:id="497" w:name="_Toc152336491"/>
      <w:bookmarkStart w:id="498" w:name="_Toc153455325"/>
      <w:bookmarkStart w:id="499" w:name="_Toc161226498"/>
      <w:bookmarkStart w:id="500" w:name="_Toc161226526"/>
      <w:bookmarkStart w:id="501" w:name="_Toc162516289"/>
      <w:bookmarkStart w:id="502" w:name="_Toc165976699"/>
      <w:bookmarkStart w:id="503" w:name="_Toc180068311"/>
      <w:r w:rsidRPr="00674A8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674A8D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 и земельные ресурсы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02D87BD9" w14:textId="7A8BCA9B" w:rsidR="008F359C" w:rsidRPr="008F359C" w:rsidRDefault="008F359C" w:rsidP="008F35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359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Прогноз поведения глифосата кислоты в почве в случае применения препарата Кэйталин Экстра, ВДГ показал, что содержание остаточных количеств глифосата в почве через год после применения препарата составляет 11-20% от внесенного количества вещества (0,13-0,22 мг/кг). Таким образом, аккумуляция значимых количеств глифосата в почве практически исключена. Вынос глифосата кислоты за пределы пахотного горизонта не прогнозируется.</w:t>
      </w:r>
    </w:p>
    <w:p w14:paraId="63BBAEB9" w14:textId="46B2F3CB" w:rsidR="008F359C" w:rsidRPr="008F359C" w:rsidRDefault="008F359C" w:rsidP="008F35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359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Прогноз поведения основного метаболита глифосата кислоты - АМРА - в почве показал, что максимальная концентрация вещества в почве прогнозируется через год после применения препарата и составляет около 0,30-0,33 мг/кг. Долгосрочный прогноз поведения АМРА показал, что содержание вещества в почве после применения препарата Кэйталин Экстра, ВДГ на одном и том же поле в 10 лет подряд составит около 1,9-2,4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F359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мг/кг.</w:t>
      </w:r>
    </w:p>
    <w:p w14:paraId="322AD26A" w14:textId="5A3F99D9" w:rsidR="008F359C" w:rsidRPr="008F359C" w:rsidRDefault="008F359C" w:rsidP="008F35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8F359C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Полевые/лизиметрические опыты: динамика исчезновения д.в., миграция и возможность аккумуляции</w:t>
      </w:r>
    </w:p>
    <w:p w14:paraId="2FD709DF" w14:textId="36A6C9EF" w:rsidR="008F359C" w:rsidRPr="008F359C" w:rsidRDefault="008F359C" w:rsidP="008F35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359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Полевые и лизиметрические опыты не требуются, так прогноз поведения глифосата кислоты в почвах трех почвенно-климатических зон РФ показал отсутствие аккумуляции вещества в значимых количествах при применении препарата Кэйталин Экстра, ВДГ на одном и том же поле в течение нескольких лет подряд. В то же время, возможна аккумуляция метаболита АМРА (максимальное прогнозируемое содержание вещества на 10-й год применения не превышает 2,3 мг/кг). Результаты моделирования также показали, что глифосата кислота и АМРА не мигрируют за пределы пахотного слоя почв.</w:t>
      </w:r>
    </w:p>
    <w:p w14:paraId="4D888FB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0AFEB4F4" w14:textId="77777777" w:rsidR="00674A8D" w:rsidRPr="00674A8D" w:rsidRDefault="00674A8D" w:rsidP="00674A8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04" w:name="_Toc176526237"/>
      <w:bookmarkStart w:id="505" w:name="_Toc180068312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5.5. Оценка воздействия на растительный и животный мир</w:t>
      </w:r>
      <w:bookmarkEnd w:id="504"/>
      <w:bookmarkEnd w:id="505"/>
    </w:p>
    <w:p w14:paraId="6870BB12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06" w:name="_Toc509777881"/>
      <w:bookmarkStart w:id="507" w:name="_Toc511062158"/>
      <w:bookmarkStart w:id="508" w:name="_Toc514173476"/>
      <w:bookmarkStart w:id="509" w:name="_Toc524340269"/>
      <w:bookmarkStart w:id="510" w:name="_Toc535397796"/>
      <w:bookmarkStart w:id="511" w:name="_Toc536568106"/>
      <w:bookmarkStart w:id="512" w:name="_Toc2704428"/>
      <w:bookmarkStart w:id="513" w:name="_Toc3830536"/>
      <w:bookmarkStart w:id="514" w:name="_Toc4525468"/>
      <w:bookmarkStart w:id="515" w:name="_Toc6338930"/>
      <w:bookmarkStart w:id="516" w:name="_Toc17396547"/>
      <w:bookmarkStart w:id="517" w:name="_Toc17475386"/>
      <w:bookmarkStart w:id="518" w:name="_Toc18075495"/>
      <w:bookmarkStart w:id="519" w:name="_Toc18348522"/>
      <w:bookmarkStart w:id="520" w:name="_Toc34139032"/>
      <w:bookmarkStart w:id="521" w:name="_Toc34340505"/>
      <w:bookmarkStart w:id="522" w:name="_Toc34349321"/>
      <w:bookmarkStart w:id="523" w:name="_Toc34349427"/>
      <w:bookmarkStart w:id="524" w:name="_Toc34349686"/>
      <w:bookmarkStart w:id="525" w:name="_Toc34686714"/>
      <w:bookmarkStart w:id="526" w:name="_Toc40903937"/>
      <w:bookmarkStart w:id="527" w:name="_Toc49729290"/>
      <w:bookmarkStart w:id="528" w:name="_Toc64721966"/>
      <w:bookmarkStart w:id="529" w:name="_Toc68709649"/>
      <w:bookmarkStart w:id="530" w:name="_Toc69310308"/>
      <w:bookmarkStart w:id="531" w:name="_Toc71663423"/>
      <w:bookmarkStart w:id="532" w:name="_Toc72145599"/>
      <w:bookmarkStart w:id="533" w:name="_Toc75335069"/>
      <w:bookmarkStart w:id="534" w:name="_Toc84585427"/>
      <w:bookmarkStart w:id="535" w:name="_Toc84944524"/>
      <w:bookmarkStart w:id="536" w:name="_Toc85115223"/>
      <w:bookmarkStart w:id="537" w:name="_Toc86134149"/>
      <w:bookmarkStart w:id="538" w:name="_Toc86225734"/>
      <w:bookmarkStart w:id="539" w:name="_Toc87886841"/>
      <w:bookmarkStart w:id="540" w:name="_Toc90285476"/>
      <w:bookmarkStart w:id="541" w:name="_Toc93070197"/>
      <w:bookmarkStart w:id="542" w:name="_Toc94033129"/>
      <w:bookmarkStart w:id="543" w:name="_Toc98152420"/>
      <w:bookmarkStart w:id="544" w:name="_Toc98332360"/>
      <w:bookmarkStart w:id="545" w:name="_Toc100677524"/>
      <w:bookmarkStart w:id="546" w:name="_Toc108518121"/>
      <w:bookmarkStart w:id="547" w:name="_Toc114671856"/>
      <w:bookmarkStart w:id="548" w:name="_Toc117779328"/>
      <w:bookmarkStart w:id="549" w:name="_Toc119332003"/>
      <w:bookmarkStart w:id="550" w:name="_Toc121484014"/>
      <w:bookmarkStart w:id="551" w:name="_Toc124780565"/>
      <w:bookmarkStart w:id="552" w:name="_Toc124846636"/>
      <w:bookmarkStart w:id="553" w:name="_Toc125368951"/>
      <w:bookmarkStart w:id="554" w:name="_Toc125375412"/>
      <w:bookmarkStart w:id="555" w:name="_Toc126836562"/>
      <w:bookmarkStart w:id="556" w:name="_Toc126938671"/>
      <w:bookmarkStart w:id="557" w:name="_Toc127184016"/>
      <w:bookmarkStart w:id="558" w:name="_Toc135160845"/>
      <w:bookmarkStart w:id="559" w:name="_Toc135216967"/>
      <w:bookmarkStart w:id="560" w:name="_Toc138952578"/>
      <w:bookmarkStart w:id="561" w:name="_Toc142312927"/>
      <w:bookmarkStart w:id="562" w:name="_Toc146806489"/>
      <w:bookmarkStart w:id="563" w:name="_Toc146806533"/>
      <w:bookmarkStart w:id="564" w:name="_Toc147327262"/>
      <w:bookmarkStart w:id="565" w:name="_Toc147327696"/>
      <w:bookmarkStart w:id="566" w:name="_Toc147930837"/>
      <w:bookmarkStart w:id="567" w:name="_Toc147930865"/>
      <w:bookmarkStart w:id="568" w:name="_Toc152336466"/>
      <w:bookmarkStart w:id="569" w:name="_Toc152336494"/>
      <w:bookmarkStart w:id="570" w:name="_Toc153455328"/>
      <w:bookmarkStart w:id="571" w:name="_Toc161226501"/>
      <w:bookmarkStart w:id="572" w:name="_Toc161226529"/>
      <w:bookmarkStart w:id="573" w:name="_Toc162516292"/>
      <w:bookmarkStart w:id="574" w:name="_Toc165976702"/>
      <w:bookmarkStart w:id="575" w:name="_Toc180068313"/>
      <w:bookmarkStart w:id="576" w:name="_Toc34139021"/>
      <w:bookmarkStart w:id="577" w:name="_Toc34340500"/>
      <w:bookmarkStart w:id="578" w:name="_Toc34349316"/>
      <w:bookmarkStart w:id="579" w:name="_Toc34349422"/>
      <w:bookmarkStart w:id="580" w:name="_Toc34349681"/>
      <w:bookmarkStart w:id="581" w:name="_Toc34402151"/>
      <w:bookmarkStart w:id="582" w:name="_Toc34686703"/>
      <w:bookmarkStart w:id="583" w:name="_Toc40903926"/>
      <w:bookmarkStart w:id="584" w:name="_Toc49729279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5.5.1. 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</w:p>
    <w:p w14:paraId="47C597DA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85" w:name="_Toc142312928"/>
      <w:bookmarkStart w:id="586" w:name="_Toc146806534"/>
      <w:bookmarkStart w:id="587" w:name="_Toc147327697"/>
      <w:bookmarkStart w:id="588" w:name="_Toc147930866"/>
      <w:bookmarkStart w:id="589" w:name="_Toc152336495"/>
      <w:bookmarkStart w:id="590" w:name="_Toc153455329"/>
      <w:bookmarkStart w:id="591" w:name="_Toc161226530"/>
      <w:bookmarkStart w:id="592" w:name="_Toc162516293"/>
      <w:bookmarkStart w:id="593" w:name="_Toc165976703"/>
      <w:bookmarkStart w:id="594" w:name="_Toc180068314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5.5.1.1. Наземные позвоночные</w:t>
      </w:r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14:paraId="3250BECE" w14:textId="7471F521" w:rsidR="008F359C" w:rsidRDefault="008F359C" w:rsidP="008F35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</w:pPr>
      <w:r w:rsidRPr="008F359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Кэйталин Экстра, ВДГ слаботоксичен для млекопитающих (5 </w:t>
      </w:r>
      <w:r w:rsidRPr="008F359C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класс опасности).</w:t>
      </w:r>
    </w:p>
    <w:p w14:paraId="21E75986" w14:textId="54B08D17" w:rsidR="008F359C" w:rsidRPr="008F359C" w:rsidRDefault="008F359C" w:rsidP="008F35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359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Учитывая данные по токсичности д.в. и составу препарата, а также принимая во внимание сведения, что препаративная форма менее токсична для млекопитающих, чем д.в., нет оснований полагать, что препарат Кэйталин Экстра, ВДГ оказывает на птиц токсическое воздействие в большей степени, чем д.в.</w:t>
      </w:r>
    </w:p>
    <w:p w14:paraId="68441B33" w14:textId="0AD5B53D" w:rsidR="008F359C" w:rsidRPr="008F359C" w:rsidRDefault="008F359C" w:rsidP="008F359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F359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Применение препарата Кэйталин Экстра, ВДГ связано с низким риском воздействия на птиц и млекопитающих по острой (TER &gt; 10) и хронической (репродуктивной) токсичностям (TER 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≥</w:t>
      </w:r>
      <w:r w:rsidRPr="008F359C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5).</w:t>
      </w:r>
    </w:p>
    <w:p w14:paraId="3891D71D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4DF6328D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95" w:name="_Toc142312929"/>
      <w:bookmarkStart w:id="596" w:name="_Toc146806535"/>
      <w:bookmarkStart w:id="597" w:name="_Toc147327698"/>
      <w:bookmarkStart w:id="598" w:name="_Toc147930867"/>
      <w:bookmarkStart w:id="599" w:name="_Toc152336496"/>
      <w:bookmarkStart w:id="600" w:name="_Toc153455330"/>
      <w:bookmarkStart w:id="601" w:name="_Toc161226531"/>
      <w:bookmarkStart w:id="602" w:name="_Toc162516294"/>
      <w:bookmarkStart w:id="603" w:name="_Toc165976704"/>
      <w:bookmarkStart w:id="604" w:name="_Toc180068315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5.5.1.2. Водные организмы</w:t>
      </w:r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14:paraId="7F7727E4" w14:textId="47CC1288" w:rsidR="001668B0" w:rsidRPr="001668B0" w:rsidRDefault="001668B0" w:rsidP="001668B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</w:pPr>
      <w:r w:rsidRPr="001668B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Кэйталин Экстра, ВДГ вреден для рыб (3 класс опасности).</w:t>
      </w:r>
    </w:p>
    <w:p w14:paraId="38C0F774" w14:textId="6D3E526C" w:rsidR="001668B0" w:rsidRPr="001668B0" w:rsidRDefault="001668B0" w:rsidP="001668B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1668B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Кэйталин Экстра, ВДГ практически не токсичен для водных беспозвоночных (опасность не классифицируется).</w:t>
      </w:r>
    </w:p>
    <w:p w14:paraId="3F3011B0" w14:textId="593864F0" w:rsidR="001668B0" w:rsidRPr="001668B0" w:rsidRDefault="001668B0" w:rsidP="001668B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1668B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Препарат Кэйталин Экстра, ВДГ вреден для водорослей (</w:t>
      </w:r>
      <w:r w:rsidR="00BE741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3</w:t>
      </w:r>
      <w:r w:rsidRPr="001668B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класс опасности).</w:t>
      </w:r>
    </w:p>
    <w:p w14:paraId="58A63940" w14:textId="77777777" w:rsidR="001668B0" w:rsidRPr="001668B0" w:rsidRDefault="001668B0" w:rsidP="001668B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1668B0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Применение препарата Кэйталин Экстра, ВДГ сопряжено с очень низким риском для всех групп водных организмов (значение показателя риска R значительно больше триггерного значения 100 для острой токсичности и 10 - для хронической (долгосрочной) токсичности).</w:t>
      </w:r>
    </w:p>
    <w:p w14:paraId="11B8F06B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7EEBEF57" w14:textId="77777777" w:rsidR="00674A8D" w:rsidRPr="00674A8D" w:rsidRDefault="00674A8D" w:rsidP="00674A8D">
      <w:pPr>
        <w:keepNext/>
        <w:keepLines/>
        <w:spacing w:after="0" w:line="36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05" w:name="_Toc180068316"/>
      <w:r w:rsidRPr="00674A8D">
        <w:rPr>
          <w:rFonts w:ascii="Times New Roman" w:eastAsia="Times New Roman" w:hAnsi="Times New Roman" w:cs="Times New Roman"/>
          <w:b/>
          <w:bCs/>
          <w:sz w:val="28"/>
          <w:szCs w:val="28"/>
        </w:rPr>
        <w:t>5.5.1.3. Высшие водные растения</w:t>
      </w:r>
      <w:bookmarkEnd w:id="605"/>
    </w:p>
    <w:p w14:paraId="3C49DED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Действующее вещество: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глифосат</w:t>
      </w:r>
    </w:p>
    <w:p w14:paraId="1487BDC9" w14:textId="09ED0442" w:rsidR="008C5B2E" w:rsidRPr="008C5B2E" w:rsidRDefault="00674A8D" w:rsidP="008C5B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Согласно отчету ФГБУ «ВНИИ Экология» от </w:t>
      </w:r>
      <w:r w:rsidR="008C5B2E"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10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.09.2024 г. </w:t>
      </w:r>
      <w:r w:rsidR="008C5B2E"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об оценке токсичности пестицида Кэйталин Экстра, ВДГ (687 г/кг глифосата кислоты (изопропиламинная соль) для высшей водной растительности (ряски малой):</w:t>
      </w:r>
    </w:p>
    <w:p w14:paraId="0FAF6AF9" w14:textId="77777777" w:rsidR="008C5B2E" w:rsidRPr="008C5B2E" w:rsidRDefault="008C5B2E" w:rsidP="008C5B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lastRenderedPageBreak/>
        <w:t>Результаты лабораторных исследований по оценке токсического эффекта препарата Кэйталин Экстра, ВДГ (687 г/кг глифосата кислоты (изопропиламинная соль) на ингибирование среднего темпа роста и уменьшение урожайности количества и площади листовых пластинок ряски малой показали, что влияние препарата в тестируемых концентрациях отсутствует.</w:t>
      </w:r>
    </w:p>
    <w:p w14:paraId="20568D0D" w14:textId="77777777" w:rsidR="00674A8D" w:rsidRPr="00674A8D" w:rsidRDefault="00674A8D" w:rsidP="00674A8D">
      <w:pPr>
        <w:tabs>
          <w:tab w:val="num" w:pos="360"/>
        </w:tabs>
        <w:spacing w:after="0" w:line="360" w:lineRule="auto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336DF3CE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06" w:name="_Toc142312930"/>
      <w:bookmarkStart w:id="607" w:name="_Toc146806536"/>
      <w:bookmarkStart w:id="608" w:name="_Toc147327699"/>
      <w:bookmarkStart w:id="609" w:name="_Toc147930868"/>
      <w:bookmarkStart w:id="610" w:name="_Toc152336497"/>
      <w:bookmarkStart w:id="611" w:name="_Toc153455331"/>
      <w:bookmarkStart w:id="612" w:name="_Toc161226532"/>
      <w:bookmarkStart w:id="613" w:name="_Toc162516295"/>
      <w:bookmarkStart w:id="614" w:name="_Toc165976705"/>
      <w:bookmarkStart w:id="615" w:name="_Toc180068317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5.5.1.4. Медоносные пчелы</w:t>
      </w:r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14:paraId="20F31CFF" w14:textId="74BC2960" w:rsidR="008C5B2E" w:rsidRPr="008C5B2E" w:rsidRDefault="008C5B2E" w:rsidP="008C5B2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bookmarkStart w:id="616" w:name="_Toc142312931"/>
      <w:bookmarkStart w:id="617" w:name="_Toc146806537"/>
      <w:bookmarkStart w:id="618" w:name="_Toc147327700"/>
      <w:bookmarkStart w:id="619" w:name="_Toc147930869"/>
      <w:bookmarkStart w:id="620" w:name="_Toc152336498"/>
      <w:bookmarkStart w:id="621" w:name="_Toc153455332"/>
      <w:bookmarkStart w:id="622" w:name="_Toc161226533"/>
      <w:bookmarkStart w:id="623" w:name="_Toc162516296"/>
      <w:bookmarkStart w:id="624" w:name="_Toc165976706"/>
      <w:r>
        <w:rPr>
          <w:rFonts w:ascii="Times New Roman" w:eastAsia="Aptos" w:hAnsi="Times New Roman" w:cs="Times New Roman"/>
          <w:sz w:val="28"/>
          <w:szCs w:val="28"/>
        </w:rPr>
        <w:t xml:space="preserve">Согласно отчету ФГБУ «ВНИИ Экология» от 16.08.2024 г. </w:t>
      </w:r>
      <w:r w:rsidRPr="008C5B2E">
        <w:rPr>
          <w:rFonts w:ascii="Times New Roman" w:eastAsia="Aptos" w:hAnsi="Times New Roman" w:cs="Times New Roman"/>
          <w:sz w:val="28"/>
          <w:szCs w:val="28"/>
        </w:rPr>
        <w:t>об оценке пероральной и контактной токсичности пестицида Кэйталин Экстра, ВДГ (687 г/кг глифосата кислоты (изопропиламинная соль) для медоносных пчёл при остром воздействии</w:t>
      </w:r>
      <w:r>
        <w:rPr>
          <w:rFonts w:ascii="Times New Roman" w:eastAsia="Aptos" w:hAnsi="Times New Roman" w:cs="Times New Roman"/>
          <w:sz w:val="28"/>
          <w:szCs w:val="28"/>
        </w:rPr>
        <w:t>:</w:t>
      </w:r>
    </w:p>
    <w:p w14:paraId="2EE98B40" w14:textId="1B3F0719" w:rsidR="008C5B2E" w:rsidRPr="008C5B2E" w:rsidRDefault="008C5B2E" w:rsidP="008C5B2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8C5B2E">
        <w:rPr>
          <w:rFonts w:ascii="Times New Roman" w:eastAsia="Aptos" w:hAnsi="Times New Roman" w:cs="Times New Roman"/>
          <w:sz w:val="28"/>
          <w:szCs w:val="28"/>
        </w:rPr>
        <w:t xml:space="preserve">Результаты лабораторных исследований по определению пероральной и контактной токсичности пестицида Кэйталин Экстра, ВДГ (687 г/кг глифосата кислоты (изопропиламинная соль) при остром воздействии для медоносных пчёл </w:t>
      </w:r>
      <w:proofErr w:type="spellStart"/>
      <w:r w:rsidRPr="008C5B2E">
        <w:rPr>
          <w:rFonts w:ascii="Times New Roman" w:eastAsia="Aptos" w:hAnsi="Times New Roman" w:cs="Times New Roman"/>
          <w:i/>
          <w:iCs/>
          <w:sz w:val="28"/>
          <w:szCs w:val="28"/>
        </w:rPr>
        <w:t>Apis</w:t>
      </w:r>
      <w:proofErr w:type="spellEnd"/>
      <w:r w:rsidRPr="008C5B2E">
        <w:rPr>
          <w:rFonts w:ascii="Times New Roman" w:eastAsia="Aptos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C5B2E">
        <w:rPr>
          <w:rFonts w:ascii="Times New Roman" w:eastAsia="Aptos" w:hAnsi="Times New Roman" w:cs="Times New Roman"/>
          <w:i/>
          <w:iCs/>
          <w:sz w:val="28"/>
          <w:szCs w:val="28"/>
        </w:rPr>
        <w:t>mellifera</w:t>
      </w:r>
      <w:proofErr w:type="spellEnd"/>
      <w:r w:rsidRPr="008C5B2E">
        <w:rPr>
          <w:rFonts w:ascii="Times New Roman" w:eastAsia="Aptos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8C5B2E">
        <w:rPr>
          <w:rFonts w:ascii="Times New Roman" w:eastAsia="Aptos" w:hAnsi="Times New Roman" w:cs="Times New Roman"/>
          <w:i/>
          <w:iCs/>
          <w:sz w:val="28"/>
          <w:szCs w:val="28"/>
        </w:rPr>
        <w:t>carpatica</w:t>
      </w:r>
      <w:proofErr w:type="spellEnd"/>
      <w:r w:rsidRPr="008C5B2E">
        <w:rPr>
          <w:rFonts w:ascii="Times New Roman" w:eastAsia="Aptos" w:hAnsi="Times New Roman" w:cs="Times New Roman"/>
          <w:sz w:val="28"/>
          <w:szCs w:val="28"/>
        </w:rPr>
        <w:t xml:space="preserve"> показали, что медианное значение летальной дозы при остром пероральном воздействии LD</w:t>
      </w:r>
      <w:r w:rsidRPr="008C5B2E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 w:rsidRPr="008C5B2E">
        <w:rPr>
          <w:rFonts w:ascii="Times New Roman" w:eastAsia="Aptos" w:hAnsi="Times New Roman" w:cs="Times New Roman"/>
          <w:sz w:val="28"/>
          <w:szCs w:val="28"/>
        </w:rPr>
        <w:t>(24 часа) более 200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0 мкг/пчелу, LD</w:t>
      </w:r>
      <w:r w:rsidRPr="008C5B2E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 w:rsidRPr="008C5B2E">
        <w:rPr>
          <w:rFonts w:ascii="Times New Roman" w:eastAsia="Aptos" w:hAnsi="Times New Roman" w:cs="Times New Roman"/>
          <w:sz w:val="28"/>
          <w:szCs w:val="28"/>
        </w:rPr>
        <w:t>(48 часов) более 200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0 мкг/пчелу; медианное значение летальной дозы при остром контактном воздействии LD</w:t>
      </w:r>
      <w:r w:rsidRPr="008C5B2E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 w:rsidRPr="008C5B2E">
        <w:rPr>
          <w:rFonts w:ascii="Times New Roman" w:eastAsia="Aptos" w:hAnsi="Times New Roman" w:cs="Times New Roman"/>
          <w:sz w:val="28"/>
          <w:szCs w:val="28"/>
        </w:rPr>
        <w:t>(24 часа) более 200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0 мкг/пчелу, LD</w:t>
      </w:r>
      <w:r w:rsidRPr="008C5B2E">
        <w:rPr>
          <w:rFonts w:ascii="Times New Roman" w:eastAsia="Aptos" w:hAnsi="Times New Roman" w:cs="Times New Roman"/>
          <w:sz w:val="28"/>
          <w:szCs w:val="28"/>
          <w:vertAlign w:val="subscript"/>
        </w:rPr>
        <w:t>50</w:t>
      </w:r>
      <w:r w:rsidRPr="008C5B2E">
        <w:rPr>
          <w:rFonts w:ascii="Times New Roman" w:eastAsia="Aptos" w:hAnsi="Times New Roman" w:cs="Times New Roman"/>
          <w:sz w:val="28"/>
          <w:szCs w:val="28"/>
        </w:rPr>
        <w:t>(48 часов) более 200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0 мкг/пчелу. Коэффициент защитного действия для тестируемых концентраций: КЗД (125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0 мг/дм</w:t>
      </w:r>
      <w:r w:rsidRPr="008C5B2E">
        <w:rPr>
          <w:rFonts w:ascii="Times New Roman" w:eastAsia="Aptos" w:hAnsi="Times New Roman" w:cs="Times New Roman"/>
          <w:sz w:val="28"/>
          <w:szCs w:val="28"/>
          <w:vertAlign w:val="superscript"/>
        </w:rPr>
        <w:t>3</w:t>
      </w:r>
      <w:r w:rsidRPr="008C5B2E">
        <w:rPr>
          <w:rFonts w:ascii="Times New Roman" w:eastAsia="Aptos" w:hAnsi="Times New Roman" w:cs="Times New Roman"/>
          <w:sz w:val="28"/>
          <w:szCs w:val="28"/>
        </w:rPr>
        <w:t>) = 10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3%, КЗД (250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0 мг/дм</w:t>
      </w:r>
      <w:r w:rsidRPr="008C5B2E">
        <w:rPr>
          <w:rFonts w:ascii="Times New Roman" w:eastAsia="Aptos" w:hAnsi="Times New Roman" w:cs="Times New Roman"/>
          <w:sz w:val="28"/>
          <w:szCs w:val="28"/>
          <w:vertAlign w:val="superscript"/>
        </w:rPr>
        <w:t>3</w:t>
      </w:r>
      <w:r w:rsidRPr="008C5B2E">
        <w:rPr>
          <w:rFonts w:ascii="Times New Roman" w:eastAsia="Aptos" w:hAnsi="Times New Roman" w:cs="Times New Roman"/>
          <w:sz w:val="28"/>
          <w:szCs w:val="28"/>
        </w:rPr>
        <w:t>) = 14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5%, КЗД (500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0 мг/дм</w:t>
      </w:r>
      <w:r w:rsidRPr="008C5B2E">
        <w:rPr>
          <w:rFonts w:ascii="Times New Roman" w:eastAsia="Aptos" w:hAnsi="Times New Roman" w:cs="Times New Roman"/>
          <w:sz w:val="28"/>
          <w:szCs w:val="28"/>
          <w:vertAlign w:val="superscript"/>
        </w:rPr>
        <w:t>3</w:t>
      </w:r>
      <w:r w:rsidRPr="008C5B2E">
        <w:rPr>
          <w:rFonts w:ascii="Times New Roman" w:eastAsia="Aptos" w:hAnsi="Times New Roman" w:cs="Times New Roman"/>
          <w:sz w:val="28"/>
          <w:szCs w:val="28"/>
        </w:rPr>
        <w:t>) = 10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6%, КЗД (1250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0 мг/дм</w:t>
      </w:r>
      <w:r w:rsidRPr="008C5B2E">
        <w:rPr>
          <w:rFonts w:ascii="Times New Roman" w:eastAsia="Aptos" w:hAnsi="Times New Roman" w:cs="Times New Roman"/>
          <w:sz w:val="28"/>
          <w:szCs w:val="28"/>
          <w:vertAlign w:val="superscript"/>
        </w:rPr>
        <w:t>3</w:t>
      </w:r>
      <w:r w:rsidRPr="008C5B2E">
        <w:rPr>
          <w:rFonts w:ascii="Times New Roman" w:eastAsia="Aptos" w:hAnsi="Times New Roman" w:cs="Times New Roman"/>
          <w:sz w:val="28"/>
          <w:szCs w:val="28"/>
        </w:rPr>
        <w:t>) = 18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4%, КЗД (2500 мг/дм</w:t>
      </w:r>
      <w:r w:rsidRPr="008C5B2E">
        <w:rPr>
          <w:rFonts w:ascii="Times New Roman" w:eastAsia="Aptos" w:hAnsi="Times New Roman" w:cs="Times New Roman"/>
          <w:sz w:val="28"/>
          <w:szCs w:val="28"/>
          <w:vertAlign w:val="superscript"/>
        </w:rPr>
        <w:t>3</w:t>
      </w:r>
      <w:r w:rsidRPr="008C5B2E">
        <w:rPr>
          <w:rFonts w:ascii="Times New Roman" w:eastAsia="Aptos" w:hAnsi="Times New Roman" w:cs="Times New Roman"/>
          <w:sz w:val="28"/>
          <w:szCs w:val="28"/>
        </w:rPr>
        <w:t>) = 20</w:t>
      </w:r>
      <w:r>
        <w:rPr>
          <w:rFonts w:ascii="Times New Roman" w:eastAsia="Aptos" w:hAnsi="Times New Roman" w:cs="Times New Roman"/>
          <w:sz w:val="28"/>
          <w:szCs w:val="28"/>
        </w:rPr>
        <w:t>,</w:t>
      </w:r>
      <w:r w:rsidRPr="008C5B2E">
        <w:rPr>
          <w:rFonts w:ascii="Times New Roman" w:eastAsia="Aptos" w:hAnsi="Times New Roman" w:cs="Times New Roman"/>
          <w:sz w:val="28"/>
          <w:szCs w:val="28"/>
        </w:rPr>
        <w:t>6%.</w:t>
      </w:r>
    </w:p>
    <w:p w14:paraId="0E825B50" w14:textId="61956131" w:rsidR="008C5B2E" w:rsidRPr="008C5B2E" w:rsidRDefault="008C5B2E" w:rsidP="008C5B2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sz w:val="28"/>
          <w:szCs w:val="28"/>
        </w:rPr>
      </w:pPr>
      <w:r w:rsidRPr="008C5B2E">
        <w:rPr>
          <w:rFonts w:ascii="Times New Roman" w:eastAsia="Aptos" w:hAnsi="Times New Roman" w:cs="Times New Roman"/>
          <w:sz w:val="28"/>
          <w:szCs w:val="28"/>
        </w:rPr>
        <w:t>Зарегистрированные препараты на основе глифосата кислоты классифицируются как малоопасные для пчёл (3 класс опасности).</w:t>
      </w:r>
    </w:p>
    <w:p w14:paraId="15C9CF1C" w14:textId="4986B286" w:rsidR="008C5B2E" w:rsidRPr="008C5B2E" w:rsidRDefault="008C5B2E" w:rsidP="008C5B2E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8C5B2E">
        <w:rPr>
          <w:rFonts w:ascii="Times New Roman" w:eastAsia="Aptos" w:hAnsi="Times New Roman" w:cs="Times New Roman"/>
          <w:sz w:val="28"/>
          <w:szCs w:val="28"/>
        </w:rPr>
        <w:t>Применение препарата Кэйталин Экстра, ВДГ сопряжено со средним риском для медоносных пчел, так как значения показателей риска по оральной и контактной токсичности находятся в интервале триггерных значений от 25 до 50.</w:t>
      </w:r>
    </w:p>
    <w:p w14:paraId="636D684C" w14:textId="77777777" w:rsidR="008C5B2E" w:rsidRDefault="008C5B2E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</w:p>
    <w:p w14:paraId="47B0AEB4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25" w:name="_Toc180068318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5.5.1.5. Дождевые черви и почвенные микроорганизмы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602AFB71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Дождевые черви</w:t>
      </w:r>
    </w:p>
    <w:p w14:paraId="05DD5211" w14:textId="0A056941" w:rsidR="008C5B2E" w:rsidRDefault="008C5B2E" w:rsidP="008C5B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Препарат Кэйталин Экстра, ВДГ </w:t>
      </w:r>
      <w:r w:rsidRPr="008C5B2E">
        <w:rPr>
          <w:rFonts w:ascii="Times New Roman" w:eastAsia="Aptos" w:hAnsi="Times New Roman" w:cs="Times New Roman"/>
          <w:i/>
          <w:iCs/>
          <w:kern w:val="0"/>
          <w:sz w:val="28"/>
          <w:szCs w:val="28"/>
          <w14:ligatures w14:val="none"/>
        </w:rPr>
        <w:t>практически не токсичен</w:t>
      </w: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(опасность не классифицируется) для дождевых червей.</w:t>
      </w:r>
    </w:p>
    <w:p w14:paraId="1F503BAB" w14:textId="1E4C97F3" w:rsidR="008C5B2E" w:rsidRPr="008C5B2E" w:rsidRDefault="008C5B2E" w:rsidP="008C5B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Сравнение показателя острой токсичности действующего вещества и его метаболитов и максимально возможного их содержания в почве после применения препарата Кэйталин Экстра, ВДГ показало низкий уровень его риска (R &gt; 10 для острой токсичности и R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&gt;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5 для хронической токсичности) для дождевых червей даже при многолетнем применении препарата на одном и том же поле.</w:t>
      </w:r>
    </w:p>
    <w:p w14:paraId="5701DC8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>Почвенные микроорганизмы</w:t>
      </w:r>
    </w:p>
    <w:p w14:paraId="04D723F3" w14:textId="7BE5331D" w:rsidR="008C5B2E" w:rsidRPr="008C5B2E" w:rsidRDefault="008C5B2E" w:rsidP="008C5B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Применение препарата Кэйталин Экстра, ВДГ в соответствии с регламентом сопряжено с низким риском для почвенного микробиома.</w:t>
      </w:r>
    </w:p>
    <w:p w14:paraId="25DB27BC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639012DD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26" w:name="_Toc180068319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5.5.1.6. Другие нецелевые организмы флоры и фауны</w:t>
      </w:r>
      <w:bookmarkEnd w:id="626"/>
    </w:p>
    <w:p w14:paraId="06432A6E" w14:textId="72E72011" w:rsidR="008C5B2E" w:rsidRPr="008C5B2E" w:rsidRDefault="00674A8D" w:rsidP="008C5B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Согласно отчету ФГБУ «ВНИИ Экология» от 01.10.2024 г. </w:t>
      </w:r>
      <w:r w:rsidR="008C5B2E"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об оценке воздействия пестицида Кэйталин Экстра, ВДГ (687 </w:t>
      </w:r>
      <w:r w:rsid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г</w:t>
      </w:r>
      <w:r w:rsidR="008C5B2E"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/кг глифосата кислоты (изопропиламинная соль) на репродуктивную способность хищных клещей в почве</w:t>
      </w:r>
      <w:r w:rsid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:</w:t>
      </w:r>
    </w:p>
    <w:p w14:paraId="5688C19D" w14:textId="3353E3E4" w:rsidR="008C5B2E" w:rsidRPr="008C5B2E" w:rsidRDefault="008C5B2E" w:rsidP="008C5B2E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Результаты лабораторных исследований по определению репродуктивной способности хищных клещей при воздействии пестицида Кэйталин Экстра, ВДГ (687 г/кг глифосата кислоты (изопропиламинная соль) показали, ЕС</w:t>
      </w:r>
      <w:r w:rsidRPr="008C5B2E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10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= 0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0008 мг/кг</w:t>
      </w:r>
      <w:r w:rsidR="00E7445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ЕС</w:t>
      </w:r>
      <w:r w:rsidRPr="008C5B2E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14:ligatures w14:val="none"/>
        </w:rPr>
        <w:t>50</w:t>
      </w: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=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</w:t>
      </w:r>
      <w:r w:rsidR="00E7445A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,</w:t>
      </w:r>
      <w:r w:rsidRPr="008C5B2E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08 мг/кг.</w:t>
      </w:r>
    </w:p>
    <w:p w14:paraId="5DCBF75D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</w:p>
    <w:p w14:paraId="74DDA032" w14:textId="77777777" w:rsidR="00674A8D" w:rsidRPr="00674A8D" w:rsidRDefault="00674A8D" w:rsidP="00674A8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27" w:name="_Toc84337359"/>
      <w:bookmarkStart w:id="628" w:name="_Toc84585426"/>
      <w:bookmarkStart w:id="629" w:name="_Toc84944523"/>
      <w:bookmarkStart w:id="630" w:name="_Toc85115222"/>
      <w:bookmarkStart w:id="631" w:name="_Toc86134148"/>
      <w:bookmarkStart w:id="632" w:name="_Toc86225733"/>
      <w:bookmarkStart w:id="633" w:name="_Toc87886840"/>
      <w:bookmarkStart w:id="634" w:name="_Toc90285475"/>
      <w:bookmarkStart w:id="635" w:name="_Toc93070196"/>
      <w:bookmarkStart w:id="636" w:name="_Toc94033128"/>
      <w:bookmarkStart w:id="637" w:name="_Toc98152419"/>
      <w:bookmarkStart w:id="638" w:name="_Toc98332359"/>
      <w:bookmarkStart w:id="639" w:name="_Toc100677523"/>
      <w:bookmarkStart w:id="640" w:name="_Toc108518120"/>
      <w:bookmarkStart w:id="641" w:name="_Toc114671855"/>
      <w:bookmarkStart w:id="642" w:name="_Toc117779327"/>
      <w:bookmarkStart w:id="643" w:name="_Toc119332002"/>
      <w:bookmarkStart w:id="644" w:name="_Toc121484013"/>
      <w:bookmarkStart w:id="645" w:name="_Toc124780564"/>
      <w:bookmarkStart w:id="646" w:name="_Toc124846635"/>
      <w:bookmarkStart w:id="647" w:name="_Toc125368950"/>
      <w:bookmarkStart w:id="648" w:name="_Toc125375411"/>
      <w:bookmarkStart w:id="649" w:name="_Toc126836561"/>
      <w:bookmarkStart w:id="650" w:name="_Toc126938670"/>
      <w:bookmarkStart w:id="651" w:name="_Toc127184015"/>
      <w:bookmarkStart w:id="652" w:name="_Toc135160844"/>
      <w:bookmarkStart w:id="653" w:name="_Toc135216966"/>
      <w:bookmarkStart w:id="654" w:name="_Toc138952577"/>
      <w:bookmarkStart w:id="655" w:name="_Toc142312926"/>
      <w:bookmarkStart w:id="656" w:name="_Toc146806488"/>
      <w:bookmarkStart w:id="657" w:name="_Toc146806532"/>
      <w:bookmarkStart w:id="658" w:name="_Toc147327261"/>
      <w:bookmarkStart w:id="659" w:name="_Toc147327695"/>
      <w:bookmarkStart w:id="660" w:name="_Toc147930836"/>
      <w:bookmarkStart w:id="661" w:name="_Toc147930864"/>
      <w:bookmarkStart w:id="662" w:name="_Toc152336465"/>
      <w:bookmarkStart w:id="663" w:name="_Toc152336493"/>
      <w:bookmarkStart w:id="664" w:name="_Toc153455327"/>
      <w:bookmarkStart w:id="665" w:name="_Toc161226500"/>
      <w:bookmarkStart w:id="666" w:name="_Toc161226528"/>
      <w:bookmarkStart w:id="667" w:name="_Toc162516291"/>
      <w:bookmarkStart w:id="668" w:name="_Toc165976701"/>
      <w:bookmarkStart w:id="669" w:name="_Toc180068320"/>
      <w:r w:rsidRPr="00674A8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 и другие районы высокой экологической значимости</w:t>
      </w:r>
      <w:bookmarkEnd w:id="669"/>
    </w:p>
    <w:p w14:paraId="3B44066A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</w:t>
      </w: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3BB6DD2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714F40C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08747500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76B933B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3A023F4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0342AFC3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305D6FF5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0B9CD29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1A489BE4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6E913EE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</w:t>
      </w: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55275C9E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6218E97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70C28DA4" w14:textId="77777777" w:rsidR="00674A8D" w:rsidRPr="00674A8D" w:rsidRDefault="00674A8D" w:rsidP="00674A8D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70" w:name="_Toc180068321"/>
      <w:r w:rsidRPr="00674A8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70"/>
    </w:p>
    <w:p w14:paraId="72C0CAFB" w14:textId="77777777" w:rsidR="00674A8D" w:rsidRPr="00674A8D" w:rsidRDefault="00674A8D" w:rsidP="00674A8D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71" w:name="_Toc84337352"/>
      <w:bookmarkStart w:id="672" w:name="_Toc85550167"/>
      <w:bookmarkStart w:id="673" w:name="_Toc86323514"/>
      <w:bookmarkStart w:id="674" w:name="_Toc87968338"/>
      <w:bookmarkStart w:id="675" w:name="_Toc88058499"/>
      <w:bookmarkStart w:id="676" w:name="_Toc89261516"/>
      <w:bookmarkStart w:id="677" w:name="_Toc89781499"/>
      <w:bookmarkStart w:id="678" w:name="_Toc90308097"/>
      <w:bookmarkStart w:id="679" w:name="_Toc92881592"/>
      <w:bookmarkStart w:id="680" w:name="_Toc94105297"/>
      <w:bookmarkStart w:id="681" w:name="_Toc103690709"/>
      <w:bookmarkStart w:id="682" w:name="_Toc110416922"/>
      <w:bookmarkStart w:id="683" w:name="_Toc110520865"/>
      <w:bookmarkStart w:id="684" w:name="_Toc124846628"/>
      <w:bookmarkStart w:id="685" w:name="_Toc125368943"/>
      <w:bookmarkStart w:id="686" w:name="_Toc125375404"/>
      <w:bookmarkStart w:id="687" w:name="_Toc126836554"/>
      <w:bookmarkStart w:id="688" w:name="_Toc126938663"/>
      <w:bookmarkStart w:id="689" w:name="_Toc127184008"/>
      <w:bookmarkStart w:id="690" w:name="_Toc135160837"/>
      <w:bookmarkStart w:id="691" w:name="_Toc135216959"/>
      <w:bookmarkStart w:id="692" w:name="_Toc138952570"/>
      <w:bookmarkStart w:id="693" w:name="_Toc142312919"/>
      <w:bookmarkStart w:id="694" w:name="_Toc146806481"/>
      <w:bookmarkStart w:id="695" w:name="_Toc146806525"/>
      <w:bookmarkStart w:id="696" w:name="_Toc147327254"/>
      <w:bookmarkStart w:id="697" w:name="_Toc147327688"/>
      <w:bookmarkStart w:id="698" w:name="_Toc147930829"/>
      <w:bookmarkStart w:id="699" w:name="_Toc147930857"/>
      <w:bookmarkStart w:id="700" w:name="_Toc152336458"/>
      <w:bookmarkStart w:id="701" w:name="_Toc152336486"/>
      <w:bookmarkStart w:id="702" w:name="_Toc153455320"/>
      <w:bookmarkStart w:id="703" w:name="_Toc161226493"/>
      <w:bookmarkStart w:id="704" w:name="_Toc161226521"/>
      <w:bookmarkStart w:id="705" w:name="_Toc162516284"/>
      <w:bookmarkStart w:id="706" w:name="_Toc165976694"/>
      <w:bookmarkStart w:id="707" w:name="_Toc176526253"/>
      <w:bookmarkStart w:id="708" w:name="_Toc180068322"/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6.1. Мероприятия по охране атмосферного воздуха</w:t>
      </w:r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14:paraId="6937E981" w14:textId="77777777" w:rsidR="00674A8D" w:rsidRPr="00674A8D" w:rsidRDefault="00674A8D" w:rsidP="00674A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t>).</w:t>
      </w:r>
    </w:p>
    <w:p w14:paraId="2105F07A" w14:textId="77777777" w:rsidR="00674A8D" w:rsidRPr="00674A8D" w:rsidRDefault="00674A8D" w:rsidP="00674A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Не допускается применение гербицида при ветровом режиме более 4-5 м/с и с наветренной стороны к селитебной зоне, без соблюдения установленных санитарных разрывов от населенных мест.</w:t>
      </w:r>
    </w:p>
    <w:p w14:paraId="7BE74066" w14:textId="77777777" w:rsidR="00674A8D" w:rsidRPr="00674A8D" w:rsidRDefault="00674A8D" w:rsidP="00674A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</w:p>
    <w:p w14:paraId="719E7F37" w14:textId="77777777" w:rsidR="00674A8D" w:rsidRPr="00674A8D" w:rsidRDefault="00674A8D" w:rsidP="00674A8D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09" w:name="_Toc161226495"/>
      <w:bookmarkStart w:id="710" w:name="_Toc161226523"/>
      <w:bookmarkStart w:id="711" w:name="_Toc162516286"/>
      <w:bookmarkStart w:id="712" w:name="_Toc165976696"/>
      <w:bookmarkStart w:id="713" w:name="_Toc176526254"/>
      <w:bookmarkStart w:id="714" w:name="_Toc180068323"/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709"/>
      <w:bookmarkEnd w:id="710"/>
      <w:bookmarkEnd w:id="711"/>
      <w:bookmarkEnd w:id="712"/>
      <w:bookmarkEnd w:id="713"/>
      <w:bookmarkEnd w:id="714"/>
    </w:p>
    <w:p w14:paraId="68834C0D" w14:textId="4EA08EB1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В соответствии с </w:t>
      </w:r>
      <w:proofErr w:type="spellStart"/>
      <w:r w:rsidRPr="00674A8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пп</w:t>
      </w:r>
      <w:proofErr w:type="spellEnd"/>
      <w:r w:rsidRPr="00674A8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6 п. 15 статьи 65 «Водного кодекса Российской Федерации запрещено применение препарата </w:t>
      </w:r>
      <w:r w:rsidRPr="00674A8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Кэйталин</w:t>
      </w:r>
      <w:r w:rsidR="00E7445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Экстра</w:t>
      </w:r>
      <w:r w:rsidRPr="00674A8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="00E7445A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ВДГ</w:t>
      </w:r>
      <w:r w:rsidRPr="00674A8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74A8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в водоохранных зонах водных объектов.</w:t>
      </w:r>
    </w:p>
    <w:p w14:paraId="099B314B" w14:textId="77777777" w:rsidR="00137840" w:rsidRPr="00137840" w:rsidRDefault="00137840" w:rsidP="0013784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Также не допускается размещение складов для хранения гербицида, устройство площадок для приготовления рабочих растворов гербицида и обезвреживания техники и тары из-под гербицида в водоохранных зонах водных объектов, в том числе и водоемов рыбохозяйственного значения (ширина водоохранных зон водных объектов приведена в ст. 65 «Водного кодекса Российской Федерации» от 03.06.2006 № 74-ФЗ (редакция от  </w:t>
      </w: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08.08.2024) (с изменениями и дополнениями, вступившими в силу с 01.09.2024).</w:t>
      </w:r>
    </w:p>
    <w:p w14:paraId="21BED267" w14:textId="77777777" w:rsidR="00137840" w:rsidRPr="00137840" w:rsidRDefault="00137840" w:rsidP="0013784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Не допускается применение гербицидов в первом поясе ЗСО источников централизованного хозяйственно-питьевого и культурно-бытового водопользования и в зонах питания второго пояса ЗСО подъемных централизованных водоисточников.</w:t>
      </w:r>
    </w:p>
    <w:p w14:paraId="309A9030" w14:textId="77777777" w:rsidR="00137840" w:rsidRPr="00137840" w:rsidRDefault="00137840" w:rsidP="0013784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гербицидом.</w:t>
      </w:r>
    </w:p>
    <w:p w14:paraId="7C6AD393" w14:textId="77777777" w:rsidR="00137840" w:rsidRDefault="00137840" w:rsidP="00137840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137840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Не допускается загрязнение гербицидом водоемов, являющихся приемниками термальных вод.</w:t>
      </w:r>
    </w:p>
    <w:p w14:paraId="2B2FA137" w14:textId="1CE0F02E" w:rsidR="00674A8D" w:rsidRPr="00674A8D" w:rsidRDefault="00674A8D" w:rsidP="0013784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715" w:name="_Hlk109736894"/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bookmarkEnd w:id="715"/>
      <w:r w:rsidRPr="00674A8D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).</w:t>
      </w:r>
    </w:p>
    <w:p w14:paraId="5D489545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4934D2F" w14:textId="77777777" w:rsidR="00674A8D" w:rsidRPr="00674A8D" w:rsidRDefault="00674A8D" w:rsidP="00674A8D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716" w:name="_Toc84337356"/>
      <w:bookmarkStart w:id="717" w:name="_Toc84585423"/>
      <w:bookmarkStart w:id="718" w:name="_Toc84944520"/>
      <w:bookmarkStart w:id="719" w:name="_Toc85115219"/>
      <w:bookmarkStart w:id="720" w:name="_Toc86134145"/>
      <w:bookmarkStart w:id="721" w:name="_Toc86225730"/>
      <w:bookmarkStart w:id="722" w:name="_Toc87886837"/>
      <w:bookmarkStart w:id="723" w:name="_Toc90285472"/>
      <w:bookmarkStart w:id="724" w:name="_Toc93070193"/>
      <w:bookmarkStart w:id="725" w:name="_Toc94033125"/>
      <w:bookmarkStart w:id="726" w:name="_Toc98152416"/>
      <w:bookmarkStart w:id="727" w:name="_Toc98332356"/>
      <w:bookmarkStart w:id="728" w:name="_Toc100677520"/>
      <w:bookmarkStart w:id="729" w:name="_Toc108518117"/>
      <w:bookmarkStart w:id="730" w:name="_Toc114671852"/>
      <w:bookmarkStart w:id="731" w:name="_Toc117779324"/>
      <w:bookmarkStart w:id="732" w:name="_Toc119331999"/>
      <w:bookmarkStart w:id="733" w:name="_Toc121484010"/>
      <w:bookmarkStart w:id="734" w:name="_Toc124780561"/>
      <w:bookmarkStart w:id="735" w:name="_Toc124846632"/>
      <w:bookmarkStart w:id="736" w:name="_Toc125368947"/>
      <w:bookmarkStart w:id="737" w:name="_Toc125375408"/>
      <w:bookmarkStart w:id="738" w:name="_Toc126836558"/>
      <w:bookmarkStart w:id="739" w:name="_Toc126938667"/>
      <w:bookmarkStart w:id="740" w:name="_Toc127184012"/>
      <w:bookmarkStart w:id="741" w:name="_Toc135160841"/>
      <w:bookmarkStart w:id="742" w:name="_Toc135216963"/>
      <w:bookmarkStart w:id="743" w:name="_Toc138952574"/>
      <w:bookmarkStart w:id="744" w:name="_Toc142312923"/>
      <w:bookmarkStart w:id="745" w:name="_Toc146806485"/>
      <w:bookmarkStart w:id="746" w:name="_Toc146806529"/>
      <w:bookmarkStart w:id="747" w:name="_Toc147327258"/>
      <w:bookmarkStart w:id="748" w:name="_Toc147327692"/>
      <w:bookmarkStart w:id="749" w:name="_Toc147930833"/>
      <w:bookmarkStart w:id="750" w:name="_Toc147930861"/>
      <w:bookmarkStart w:id="751" w:name="_Toc152336462"/>
      <w:bookmarkStart w:id="752" w:name="_Toc152336490"/>
      <w:bookmarkStart w:id="753" w:name="_Toc153455324"/>
      <w:bookmarkStart w:id="754" w:name="_Toc161226497"/>
      <w:bookmarkStart w:id="755" w:name="_Toc161226525"/>
      <w:bookmarkStart w:id="756" w:name="_Toc162516288"/>
      <w:bookmarkStart w:id="757" w:name="_Toc165976698"/>
      <w:bookmarkStart w:id="758" w:name="_Toc176526255"/>
      <w:bookmarkStart w:id="759" w:name="_Toc180068324"/>
      <w:bookmarkStart w:id="760" w:name="_Hlk84344206"/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6.3. Мероприятия по охране геологической среды и подземных вод</w:t>
      </w:r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14:paraId="6204EB1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6.2. настоящего проекта</w:t>
      </w:r>
      <w:bookmarkEnd w:id="760"/>
      <w:r w:rsidRPr="00674A8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71BC14EA" w14:textId="77777777" w:rsidR="00674A8D" w:rsidRPr="00674A8D" w:rsidRDefault="00674A8D" w:rsidP="00674A8D">
      <w:pPr>
        <w:spacing w:line="256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</w:p>
    <w:p w14:paraId="577B585B" w14:textId="77777777" w:rsidR="00674A8D" w:rsidRPr="00674A8D" w:rsidRDefault="00674A8D" w:rsidP="00674A8D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61" w:name="_Toc84337358"/>
      <w:bookmarkStart w:id="762" w:name="_Toc84585425"/>
      <w:bookmarkStart w:id="763" w:name="_Toc84944522"/>
      <w:bookmarkStart w:id="764" w:name="_Toc85115221"/>
      <w:bookmarkStart w:id="765" w:name="_Toc86134147"/>
      <w:bookmarkStart w:id="766" w:name="_Toc86225732"/>
      <w:bookmarkStart w:id="767" w:name="_Toc87886839"/>
      <w:bookmarkStart w:id="768" w:name="_Toc90285474"/>
      <w:bookmarkStart w:id="769" w:name="_Toc93070195"/>
      <w:bookmarkStart w:id="770" w:name="_Toc94033127"/>
      <w:bookmarkStart w:id="771" w:name="_Toc98152418"/>
      <w:bookmarkStart w:id="772" w:name="_Toc98332358"/>
      <w:bookmarkStart w:id="773" w:name="_Toc100677522"/>
      <w:bookmarkStart w:id="774" w:name="_Toc108518119"/>
      <w:bookmarkStart w:id="775" w:name="_Toc114671854"/>
      <w:bookmarkStart w:id="776" w:name="_Toc117779326"/>
      <w:bookmarkStart w:id="777" w:name="_Toc119332001"/>
      <w:bookmarkStart w:id="778" w:name="_Toc121484012"/>
      <w:bookmarkStart w:id="779" w:name="_Toc124780563"/>
      <w:bookmarkStart w:id="780" w:name="_Toc124846634"/>
      <w:bookmarkStart w:id="781" w:name="_Toc125368949"/>
      <w:bookmarkStart w:id="782" w:name="_Toc125375410"/>
      <w:bookmarkStart w:id="783" w:name="_Toc126836560"/>
      <w:bookmarkStart w:id="784" w:name="_Toc126938669"/>
      <w:bookmarkStart w:id="785" w:name="_Toc127184014"/>
      <w:bookmarkStart w:id="786" w:name="_Toc135160843"/>
      <w:bookmarkStart w:id="787" w:name="_Toc135216965"/>
      <w:bookmarkStart w:id="788" w:name="_Toc138952576"/>
      <w:bookmarkStart w:id="789" w:name="_Toc142312925"/>
      <w:bookmarkStart w:id="790" w:name="_Toc146806487"/>
      <w:bookmarkStart w:id="791" w:name="_Toc146806531"/>
      <w:bookmarkStart w:id="792" w:name="_Toc147327260"/>
      <w:bookmarkStart w:id="793" w:name="_Toc147327694"/>
      <w:bookmarkStart w:id="794" w:name="_Toc147930835"/>
      <w:bookmarkStart w:id="795" w:name="_Toc147930863"/>
      <w:bookmarkStart w:id="796" w:name="_Toc152336464"/>
      <w:bookmarkStart w:id="797" w:name="_Toc152336492"/>
      <w:bookmarkStart w:id="798" w:name="_Toc153455326"/>
      <w:bookmarkStart w:id="799" w:name="_Toc161226499"/>
      <w:bookmarkStart w:id="800" w:name="_Toc161226527"/>
      <w:bookmarkStart w:id="801" w:name="_Toc162516290"/>
      <w:bookmarkStart w:id="802" w:name="_Hlk135208863"/>
      <w:bookmarkStart w:id="803" w:name="_Toc165976700"/>
      <w:bookmarkStart w:id="804" w:name="_Toc180068325"/>
      <w:r w:rsidRPr="00674A8D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6.4. </w:t>
      </w:r>
      <w:r w:rsidRPr="00674A8D">
        <w:rPr>
          <w:rFonts w:ascii="Times New Roman" w:eastAsia="Aptos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Start w:id="805" w:name="_Hlk127183877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14:paraId="1CB18541" w14:textId="7156A44C" w:rsidR="00E7445A" w:rsidRPr="00E7445A" w:rsidRDefault="00E7445A" w:rsidP="00E7445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E7445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В соответствии с паспортом безопасности 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</w:t>
      </w:r>
      <w:r w:rsidRPr="00E7445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а препарат при случайной просыпи препарата необходимо изолировать опасную зону и преградить доступ к ней посторонних. Соблюдать меры пожарной безопасности. </w:t>
      </w:r>
      <w:r w:rsidRPr="00E7445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Использовать защитную одежду и средства индивидуальной защиты. Пострадавшим оказать первую помощь.</w:t>
      </w:r>
    </w:p>
    <w:p w14:paraId="6151D69E" w14:textId="77777777" w:rsidR="00E7445A" w:rsidRPr="00E7445A" w:rsidRDefault="00E7445A" w:rsidP="00E7445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E7445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Сообщить местным органам исполнительной власти о чрезвычайной ситуации.</w:t>
      </w:r>
    </w:p>
    <w:p w14:paraId="1BA35A98" w14:textId="23E9ED53" w:rsidR="00E7445A" w:rsidRPr="00E7445A" w:rsidRDefault="00E7445A" w:rsidP="00E7445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E7445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Прекратить рассыпание препарата и произвести перезатаривание в плотно закрывающиеся промаркированные контейнеры. Рассыпанный препарат необходимо засыпать сорбентом, песком, опилками или землей. Загрязненный сорбент п почву обезвредить 10%-</w:t>
      </w:r>
      <w:proofErr w:type="spellStart"/>
      <w:r w:rsidRPr="00E7445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ным</w:t>
      </w:r>
      <w:proofErr w:type="spellEnd"/>
      <w:r w:rsidRPr="00E7445A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органами. Загрязненную землю перекопать на глубину штыка лопаты. Во избежание самовоспламенения не допускается засыпать место просыпи сухой хлорной известью. При дорожно-транспортном происшествии - приостановить движение транспортных средств, обозначить место просыпи препарата предупредительными знаками и действовать в соответствии с требованиями аварийной карточки.</w:t>
      </w:r>
    </w:p>
    <w:p w14:paraId="4C6D918D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674A8D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</w:p>
    <w:p w14:paraId="2275A810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</w:p>
    <w:p w14:paraId="16BD3F7D" w14:textId="77777777" w:rsidR="00674A8D" w:rsidRPr="00674A8D" w:rsidRDefault="00674A8D" w:rsidP="00674A8D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06" w:name="_Toc142312932"/>
      <w:bookmarkStart w:id="807" w:name="_Toc146806490"/>
      <w:bookmarkStart w:id="808" w:name="_Toc146806538"/>
      <w:bookmarkStart w:id="809" w:name="_Toc147327263"/>
      <w:bookmarkStart w:id="810" w:name="_Toc147327701"/>
      <w:bookmarkStart w:id="811" w:name="_Toc147930838"/>
      <w:bookmarkStart w:id="812" w:name="_Toc147930870"/>
      <w:bookmarkStart w:id="813" w:name="_Toc152336467"/>
      <w:bookmarkStart w:id="814" w:name="_Toc152336499"/>
      <w:bookmarkStart w:id="815" w:name="_Toc153455333"/>
      <w:bookmarkStart w:id="816" w:name="_Toc161226502"/>
      <w:bookmarkStart w:id="817" w:name="_Toc161226534"/>
      <w:bookmarkStart w:id="818" w:name="_Toc162516297"/>
      <w:bookmarkStart w:id="819" w:name="_Toc165976707"/>
      <w:bookmarkStart w:id="820" w:name="_Toc176526257"/>
      <w:bookmarkStart w:id="821" w:name="_Toc180068326"/>
      <w:bookmarkEnd w:id="805"/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6.5. Мероприятия по охране особо охраняемых природных территорий (ООПТ), растительного и животного мира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p w14:paraId="7539516F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При работе с препаратом необходимо соблюдать требования и меры предосторожности согласно СанПиН 2.1.3684-21 «Санитарно-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>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bookmarkStart w:id="822" w:name="_Hlk117518154"/>
      <w:bookmarkStart w:id="823" w:name="_Hlk172453637"/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22"/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от 14.05.2024</w:t>
      </w:r>
      <w:bookmarkEnd w:id="823"/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).</w:t>
      </w:r>
    </w:p>
    <w:p w14:paraId="6A2DA65D" w14:textId="42BE10C3" w:rsidR="00E7445A" w:rsidRPr="00E7445A" w:rsidRDefault="00E7445A" w:rsidP="00E744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7445A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ГОСТ 32424-2013 препарат Кэйталин Экстра, ВДГ классифицируется как химическая продукция </w:t>
      </w:r>
      <w:r w:rsidRPr="00C84EF3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bidi="ru-RU"/>
          <w14:ligatures w14:val="none"/>
        </w:rPr>
        <w:t>третьего класса опасности</w:t>
      </w:r>
      <w:r w:rsidRPr="00E7445A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для водных организмов (по наиболее чувствительной группе гидробионтов - рыбам).</w:t>
      </w:r>
    </w:p>
    <w:p w14:paraId="2300F3C3" w14:textId="7EBAEAC6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</w:t>
      </w:r>
      <w:proofErr w:type="spellStart"/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пп</w:t>
      </w:r>
      <w:proofErr w:type="spellEnd"/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. 6 п. 15 статьи 65 «Водного кодекса Российской Федерации» запрещено применение препарата Кэйталин</w:t>
      </w:r>
      <w:r w:rsidR="00E7445A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Экстра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, </w:t>
      </w:r>
      <w:r w:rsidR="00E7445A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ВДГ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в водоохранных зонах водных объектов, включая их частный случай - рыбоохранные зоны.</w:t>
      </w:r>
    </w:p>
    <w:p w14:paraId="6143EB90" w14:textId="77777777" w:rsidR="00E7445A" w:rsidRDefault="00E7445A" w:rsidP="00E744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7445A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Применение гербицида Кэйталин Экстра, ВДГ требует соблюдения положений, изложенных в «Инструкции по профилактике отравления пчел пестицидами, М., Госагропром СССР, 1989 г.», в частности - обязательно предварительное за 4-5 суток оповещение пчеловодов общественных и индивидуальных пасек (средствами печати, радио) о характере запланированного к использованию средства защиты растений, сроках и зонах его применения, и следующего экологического регламента: </w:t>
      </w:r>
    </w:p>
    <w:p w14:paraId="735C5441" w14:textId="77777777" w:rsidR="00E7445A" w:rsidRDefault="00E7445A" w:rsidP="00E744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</w:t>
      </w:r>
      <w:r w:rsidRPr="00E7445A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проведение обработки растений ранним утром или вечером после захода солнца; </w:t>
      </w:r>
    </w:p>
    <w:p w14:paraId="1E0C7A2E" w14:textId="77777777" w:rsidR="00E7445A" w:rsidRDefault="00E7445A" w:rsidP="00E744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7445A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- при скорости ветра не более 4-5 м/с;</w:t>
      </w:r>
    </w:p>
    <w:p w14:paraId="42A5E06B" w14:textId="77777777" w:rsidR="00E7445A" w:rsidRDefault="00E7445A" w:rsidP="00E744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- </w:t>
      </w:r>
      <w:r w:rsidRPr="00E7445A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погранично-защитная зона для пчел не менее 2-3 км; </w:t>
      </w:r>
    </w:p>
    <w:p w14:paraId="667B4AA1" w14:textId="7434467B" w:rsidR="00E7445A" w:rsidRPr="00E7445A" w:rsidRDefault="00E7445A" w:rsidP="00E7445A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lastRenderedPageBreak/>
        <w:t xml:space="preserve">- </w:t>
      </w:r>
      <w:r w:rsidRPr="00E7445A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ограничение лёта пчел не менее 20-24 часа.</w:t>
      </w:r>
    </w:p>
    <w:p w14:paraId="6A38B999" w14:textId="77777777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</w:p>
    <w:p w14:paraId="1D352509" w14:textId="77777777" w:rsidR="00674A8D" w:rsidRPr="00674A8D" w:rsidRDefault="00674A8D" w:rsidP="00674A8D">
      <w:pPr>
        <w:spacing w:after="0"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824" w:name="_Toc180068327"/>
      <w:r w:rsidRPr="00674A8D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6.6. Мероприятия по минимизации воздействия на окружающую среду при обращении с отходами производства и потребления</w:t>
      </w:r>
      <w:bookmarkEnd w:id="824"/>
    </w:p>
    <w:p w14:paraId="1ADA86D0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4C72AA69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гербицида:</w:t>
      </w:r>
    </w:p>
    <w:p w14:paraId="6600579B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Строгое выполнение научно обоснованной технологии и регламентов применения пестицида.</w:t>
      </w:r>
    </w:p>
    <w:p w14:paraId="362DD0DE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Применение научно обоснованных севооборотов для улучшения фитосанитарного состояния почв.</w:t>
      </w:r>
    </w:p>
    <w:p w14:paraId="16B29C48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гербицидом.</w:t>
      </w:r>
    </w:p>
    <w:p w14:paraId="5D224282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Применение гербицида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065E5297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(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14.05.2024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/>
          <w14:ligatures w14:val="none"/>
        </w:rPr>
        <w:t>)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EBECEE5" w14:textId="63A4B808" w:rsidR="00E7445A" w:rsidRPr="00E7445A" w:rsidRDefault="00674A8D" w:rsidP="00E744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6.</w:t>
      </w:r>
      <w:r w:rsidR="00E744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7445A" w:rsidRPr="00E744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Погрузочно-разгрузочные работы проводить с применением средств механизации, аккуратно, без бросков, толчков и ударов.</w:t>
      </w:r>
    </w:p>
    <w:p w14:paraId="59140899" w14:textId="31939605" w:rsidR="00E7445A" w:rsidRPr="00E7445A" w:rsidRDefault="00E7445A" w:rsidP="00E744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744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Лица, занятые перевозкой, погрузочно-разгрузочными работами, хранением, применением препарата должны ознакомиться с рекомендациями о транспортировке, применении и хранении, знать опасные свойства препарата, знать и соблюдать правила безопасного обращения с ним, меры личной и общественной безопасности, порядок действий при возникновении чрезвычайных ситуаций, способы и средства пожаротушения, обезвреживания, оказания первой доврачебной помощи.</w:t>
      </w:r>
    </w:p>
    <w:p w14:paraId="709AB483" w14:textId="3C5508C7" w:rsidR="00E7445A" w:rsidRPr="00E7445A" w:rsidRDefault="00E7445A" w:rsidP="00E744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744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допускать совместную перевозку препарата и других грузов.</w:t>
      </w:r>
    </w:p>
    <w:p w14:paraId="7A0C0B1C" w14:textId="77777777" w:rsidR="00E7445A" w:rsidRPr="00E7445A" w:rsidRDefault="00E7445A" w:rsidP="00E744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744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 время транспортировки запрещается присутствие на транспортном средстве посторонних лиц.</w:t>
      </w:r>
    </w:p>
    <w:p w14:paraId="3B132563" w14:textId="6D49E812" w:rsidR="00E7445A" w:rsidRPr="00E7445A" w:rsidRDefault="00E7445A" w:rsidP="00E744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744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После завершения работ транспортные средства подвергаются влажной уборке.</w:t>
      </w:r>
    </w:p>
    <w:p w14:paraId="3E3ABC07" w14:textId="171D0F28" w:rsidR="00E7445A" w:rsidRPr="00E7445A" w:rsidRDefault="00674A8D" w:rsidP="00E744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7. </w:t>
      </w:r>
      <w:r w:rsidR="00E7445A" w:rsidRPr="00E744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Препарат хранить в закрытой промаркированной заводской таре в сухих, закрытых, имеющих принудительную вентиляцию помещениях, предназначенных для хранения пестицидов. Предохранять от попадания прямых солнечных лучей, воздействия источников тепла, огня, искр, принимать меры против возникновения электростатических разрядов.</w:t>
      </w:r>
    </w:p>
    <w:p w14:paraId="6E4C2B69" w14:textId="03B9FD4C" w:rsidR="00E7445A" w:rsidRPr="00E7445A" w:rsidRDefault="00E7445A" w:rsidP="00E744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744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Хранить отдельно от продуктов питания, напитков, кормов, различных предметов хозяйственного и бытового назначения.</w:t>
      </w:r>
    </w:p>
    <w:p w14:paraId="7B2A574C" w14:textId="05C06108" w:rsidR="00E7445A" w:rsidRPr="00E7445A" w:rsidRDefault="00E7445A" w:rsidP="00E744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744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 допускать контакта препарата с водой и другими жидкостями, разлива продукта, контакта с препаратом детей и животных.</w:t>
      </w:r>
    </w:p>
    <w:p w14:paraId="0EAD8957" w14:textId="77777777" w:rsidR="00E7445A" w:rsidRDefault="00E7445A" w:rsidP="00E744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744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Гарантийный срок хранения 5 лет со дня изготовления. </w:t>
      </w:r>
    </w:p>
    <w:p w14:paraId="2263FE11" w14:textId="350C36E4" w:rsidR="00E7445A" w:rsidRPr="00E7445A" w:rsidRDefault="00E7445A" w:rsidP="00E744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744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Запрещено хранение совместно с пищевыми продуктами, питьевой водой, кормами, удобрениями и другими товарами.</w:t>
      </w:r>
    </w:p>
    <w:p w14:paraId="50850A9E" w14:textId="7116849A" w:rsidR="00674A8D" w:rsidRPr="00674A8D" w:rsidRDefault="00674A8D" w:rsidP="00E744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1AF5245F" w14:textId="77777777" w:rsidR="00674A8D" w:rsidRPr="00674A8D" w:rsidRDefault="00674A8D" w:rsidP="00674A8D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25" w:name="_Toc138952594"/>
      <w:bookmarkStart w:id="826" w:name="_Toc142312943"/>
      <w:bookmarkStart w:id="827" w:name="_Toc146806501"/>
      <w:bookmarkStart w:id="828" w:name="_Toc146806549"/>
      <w:bookmarkStart w:id="829" w:name="_Toc147327274"/>
      <w:bookmarkStart w:id="830" w:name="_Toc147327703"/>
      <w:bookmarkStart w:id="831" w:name="_Toc147930840"/>
      <w:bookmarkStart w:id="832" w:name="_Toc147930872"/>
      <w:bookmarkStart w:id="833" w:name="_Toc152336469"/>
      <w:bookmarkStart w:id="834" w:name="_Toc152336501"/>
      <w:bookmarkStart w:id="835" w:name="_Toc153455335"/>
      <w:bookmarkStart w:id="836" w:name="_Toc161226504"/>
      <w:bookmarkStart w:id="837" w:name="_Toc161226536"/>
      <w:bookmarkStart w:id="838" w:name="_Toc162516299"/>
      <w:bookmarkStart w:id="839" w:name="_Toc165976709"/>
      <w:bookmarkStart w:id="840" w:name="_Toc180068328"/>
      <w:r w:rsidRPr="00674A8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14:paraId="4981033D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56613DF" w14:textId="6FCF9F01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проведении оценки воздействия на окружающую среду пестицида </w:t>
      </w:r>
      <w:r w:rsidR="005F5330" w:rsidRPr="005F5330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Кэйталин Экстра, ВДГ (687 г/кг глифосата кислоты (изопропиламинная соль)</w:t>
      </w:r>
      <w:r w:rsidR="005F5330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неопределенностей выявлено не было.</w:t>
      </w:r>
    </w:p>
    <w:p w14:paraId="6815549C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 рекомендациям ведущих НИИ России препарат изучен в достаточной мере и рекомендован к использованию на всей территории России сроком на 3 года с установленным регламентом применения.</w:t>
      </w:r>
    </w:p>
    <w:p w14:paraId="155BD597" w14:textId="77777777" w:rsidR="00674A8D" w:rsidRPr="00674A8D" w:rsidRDefault="00674A8D" w:rsidP="00674A8D">
      <w:pPr>
        <w:spacing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7F1DD16D" w14:textId="77777777" w:rsidR="00674A8D" w:rsidRPr="00674A8D" w:rsidRDefault="00674A8D" w:rsidP="00674A8D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41" w:name="_Toc138952597"/>
      <w:bookmarkStart w:id="842" w:name="_Toc142312946"/>
      <w:bookmarkStart w:id="843" w:name="_Toc146806504"/>
      <w:bookmarkStart w:id="844" w:name="_Toc146806552"/>
      <w:bookmarkStart w:id="845" w:name="_Toc147327277"/>
      <w:bookmarkStart w:id="846" w:name="_Toc147327704"/>
      <w:bookmarkStart w:id="847" w:name="_Toc147930841"/>
      <w:bookmarkStart w:id="848" w:name="_Toc147930873"/>
      <w:bookmarkStart w:id="849" w:name="_Toc152336470"/>
      <w:bookmarkStart w:id="850" w:name="_Toc152336502"/>
      <w:bookmarkStart w:id="851" w:name="_Toc153455336"/>
      <w:bookmarkStart w:id="852" w:name="_Toc161226505"/>
      <w:bookmarkStart w:id="853" w:name="_Toc161226537"/>
      <w:bookmarkStart w:id="854" w:name="_Toc162516300"/>
      <w:bookmarkStart w:id="855" w:name="_Toc165976710"/>
      <w:bookmarkStart w:id="856" w:name="_Toc180068329"/>
      <w:r w:rsidRPr="00674A8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8. РЕЗЮМЕ НЕТЕХНИЧЕСКОГО ХАРАКТЕРА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35F83F0E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kern w:val="0"/>
          <w:sz w:val="28"/>
          <w:szCs w:val="28"/>
          <w:lang w:eastAsia="ru-RU"/>
          <w14:ligatures w14:val="none"/>
        </w:rPr>
      </w:pPr>
    </w:p>
    <w:p w14:paraId="3E1F5EED" w14:textId="77777777" w:rsidR="000337EC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Times New Roman" w:hAnsi="Times New Roman" w:cs="Times New Roman"/>
          <w:b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Выводы и заключения по результатам оценки воздействия на окружающую среду препарата </w:t>
      </w:r>
      <w:r w:rsidR="000337EC" w:rsidRPr="000337E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Кэйталин Экстра, ВДГ (687 г/кг глифосата кислоты (изопропиламинная соль)</w:t>
      </w:r>
    </w:p>
    <w:p w14:paraId="4D478A2B" w14:textId="0530D9C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Согласно заключениям вышеперечисленных НИИ РФ сделаны следующие выводы:</w:t>
      </w:r>
    </w:p>
    <w:p w14:paraId="4C8C715B" w14:textId="5BCCDC63" w:rsidR="00674A8D" w:rsidRPr="00674A8D" w:rsidRDefault="00674A8D" w:rsidP="00674A8D">
      <w:pPr>
        <w:spacing w:after="0" w:line="360" w:lineRule="auto"/>
        <w:ind w:right="57"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674A8D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 xml:space="preserve">1. Материалы документации на препарат </w:t>
      </w:r>
      <w:r w:rsidR="000337EC" w:rsidRPr="000337EC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Кэйталин Экстра, ВДГ (687 г/кг глифосата кислоты (изопропиламинная соль)</w:t>
      </w:r>
      <w:r w:rsidR="000337EC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674A8D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42E592D0" w14:textId="2F2A1D33" w:rsidR="00674A8D" w:rsidRPr="00674A8D" w:rsidRDefault="00674A8D" w:rsidP="000337E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Исходя из токсиколого-гигиенической характеристики препарата, регламентов его применения и предусмотренных мер безопасности препарат </w:t>
      </w:r>
      <w:r w:rsidR="000337EC" w:rsidRPr="000337EC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Кэйталин Экстра, ВДГ (687 г/кг глифосата кислоты</w:t>
      </w:r>
      <w:r w:rsidR="000337EC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)</w:t>
      </w:r>
      <w:r w:rsidRPr="00674A8D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, д.в. глифосат (</w:t>
      </w:r>
      <w:r w:rsidR="000337EC" w:rsidRPr="000337EC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изо</w:t>
      </w:r>
      <w:r w:rsidR="000337EC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п</w:t>
      </w:r>
      <w:r w:rsidR="000337EC" w:rsidRPr="000337EC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ропиламинная соль</w:t>
      </w:r>
      <w:r w:rsidRPr="00674A8D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), </w:t>
      </w: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соответствует действующим в Российской Федерации санитарным нормам и правилам.</w:t>
      </w:r>
    </w:p>
    <w:p w14:paraId="7A05B5AB" w14:textId="1D01A4FE" w:rsidR="000337EC" w:rsidRDefault="000337EC" w:rsidP="000337E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0337E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Таким образом, с токсиколого-гигиенических позиций считаем возможной государственную регистрацию сроком на 3 года препарата Кэйталин Экстра, ВДГ (687 г/кг глифосата кислоты), д.в. глифосат (изо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</w:t>
      </w:r>
      <w:r w:rsidRPr="000337E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ропиламинная соль) (чистота технического продукта н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е</w:t>
      </w:r>
      <w:r w:rsidRPr="000337E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менее 96%)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, </w:t>
      </w:r>
      <w:r w:rsidRPr="000337E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производства ООО «Доктор Фармер» (Россия)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, </w:t>
      </w:r>
      <w:r w:rsidRPr="000337E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фасовщик препарата ООО «Доктор Фармер» (Россия), (при обязательном документальном подтверждении содержания в техническом продукте глифосата релевантных примесей N-</w:t>
      </w:r>
      <w:proofErr w:type="spellStart"/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</w:t>
      </w:r>
      <w:r w:rsidRPr="000337E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итрозоглифосата</w:t>
      </w:r>
      <w:proofErr w:type="spellEnd"/>
      <w:r w:rsidRPr="000337E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на уровне не более 1 мг/кг и формальдегида на уровне не более 1,3 г/кг глифосата кислоты, а также отсутствия РОЕ-</w:t>
      </w:r>
      <w:proofErr w:type="spellStart"/>
      <w:r w:rsidRPr="000337E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таллоам</w:t>
      </w:r>
      <w:r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и</w:t>
      </w:r>
      <w:r w:rsidRPr="000337E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на</w:t>
      </w:r>
      <w:proofErr w:type="spellEnd"/>
      <w:r w:rsidRPr="000337EC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 в составе препарата) и его использование в качестве гербицида для наземного штангового опрыскивания следующих площадей: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8"/>
        <w:gridCol w:w="2551"/>
        <w:gridCol w:w="2416"/>
        <w:gridCol w:w="1978"/>
        <w:gridCol w:w="1412"/>
      </w:tblGrid>
      <w:tr w:rsidR="00436EC4" w:rsidRPr="00FE70D5" w14:paraId="30E92434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6CE97A26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Норма применения препар</w:t>
            </w: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ата, кг/га</w:t>
            </w:r>
          </w:p>
        </w:tc>
        <w:tc>
          <w:tcPr>
            <w:tcW w:w="2551" w:type="dxa"/>
            <w:vAlign w:val="center"/>
          </w:tcPr>
          <w:p w14:paraId="540001E8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Культура</w:t>
            </w:r>
          </w:p>
        </w:tc>
        <w:tc>
          <w:tcPr>
            <w:tcW w:w="2416" w:type="dxa"/>
            <w:vAlign w:val="center"/>
          </w:tcPr>
          <w:p w14:paraId="1F561619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Вредный объект</w:t>
            </w:r>
          </w:p>
        </w:tc>
        <w:tc>
          <w:tcPr>
            <w:tcW w:w="1978" w:type="dxa"/>
            <w:vAlign w:val="center"/>
          </w:tcPr>
          <w:p w14:paraId="449A7760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Способ, время обработки, ограничения</w:t>
            </w:r>
          </w:p>
        </w:tc>
        <w:tc>
          <w:tcPr>
            <w:tcW w:w="1412" w:type="dxa"/>
            <w:vAlign w:val="center"/>
          </w:tcPr>
          <w:p w14:paraId="74E283D9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Срок ожидания (м</w:t>
            </w: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аксимальная </w:t>
            </w:r>
            <w:r w:rsidRPr="00FE70D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кратность обработок в течение сезона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436EC4" w:rsidRPr="00FE70D5" w14:paraId="45249080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7B1EA8D7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1,0-2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</w:t>
            </w:r>
          </w:p>
        </w:tc>
        <w:tc>
          <w:tcPr>
            <w:tcW w:w="2551" w:type="dxa"/>
            <w:vMerge w:val="restart"/>
            <w:vAlign w:val="center"/>
          </w:tcPr>
          <w:p w14:paraId="62404B05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Поля, предназначенные под посев яровых зерновых культур</w:t>
            </w:r>
          </w:p>
        </w:tc>
        <w:tc>
          <w:tcPr>
            <w:tcW w:w="2416" w:type="dxa"/>
            <w:vAlign w:val="center"/>
          </w:tcPr>
          <w:p w14:paraId="578AF607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сорные растения</w:t>
            </w:r>
          </w:p>
        </w:tc>
        <w:tc>
          <w:tcPr>
            <w:tcW w:w="1978" w:type="dxa"/>
            <w:vMerge w:val="restart"/>
            <w:vAlign w:val="center"/>
          </w:tcPr>
          <w:p w14:paraId="090D4403" w14:textId="77777777" w:rsidR="00436EC4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Опрыскивание вегетирующих сорняков в конце лета или осенью в послеуборочный период. </w:t>
            </w:r>
          </w:p>
          <w:p w14:paraId="5CF6D5EB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 рабочей жидкости -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100-200 л/га</w:t>
            </w:r>
          </w:p>
        </w:tc>
        <w:tc>
          <w:tcPr>
            <w:tcW w:w="1412" w:type="dxa"/>
            <w:vMerge w:val="restart"/>
            <w:vAlign w:val="center"/>
          </w:tcPr>
          <w:p w14:paraId="0479865F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-(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</w:t>
            </w:r>
          </w:p>
        </w:tc>
      </w:tr>
      <w:tr w:rsidR="00436EC4" w:rsidRPr="00FE70D5" w14:paraId="529DEA26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26C85BDD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2,0-3,0</w:t>
            </w:r>
          </w:p>
        </w:tc>
        <w:tc>
          <w:tcPr>
            <w:tcW w:w="2551" w:type="dxa"/>
            <w:vMerge/>
            <w:vAlign w:val="center"/>
          </w:tcPr>
          <w:p w14:paraId="6F78ED32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0D30950C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Многолетние злаковые и двудольные сорные растения</w:t>
            </w:r>
          </w:p>
        </w:tc>
        <w:tc>
          <w:tcPr>
            <w:tcW w:w="1978" w:type="dxa"/>
            <w:vMerge/>
            <w:vAlign w:val="center"/>
          </w:tcPr>
          <w:p w14:paraId="1BD2A6D5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7B56F911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436EC4" w:rsidRPr="00FE70D5" w14:paraId="365F0BA7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0F2CA014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3,0-3,5</w:t>
            </w:r>
          </w:p>
        </w:tc>
        <w:tc>
          <w:tcPr>
            <w:tcW w:w="2551" w:type="dxa"/>
            <w:vMerge/>
            <w:vAlign w:val="center"/>
          </w:tcPr>
          <w:p w14:paraId="3E05E4CD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03275588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Злостные многолетние сорные растения (свинорой, вьюнок полевой, бодяк полевой и другие корнео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прысковые)</w:t>
            </w:r>
          </w:p>
        </w:tc>
        <w:tc>
          <w:tcPr>
            <w:tcW w:w="1978" w:type="dxa"/>
            <w:vAlign w:val="center"/>
          </w:tcPr>
          <w:p w14:paraId="1708F9B5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вегетирующих сорняков в конце лета или осенью в послеуборочный период.</w:t>
            </w:r>
          </w:p>
          <w:p w14:paraId="4E604A2E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100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 л/га</w:t>
            </w:r>
          </w:p>
        </w:tc>
        <w:tc>
          <w:tcPr>
            <w:tcW w:w="1412" w:type="dxa"/>
            <w:vMerge/>
            <w:vAlign w:val="center"/>
          </w:tcPr>
          <w:p w14:paraId="5F0AA4BF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436EC4" w:rsidRPr="00FE70D5" w14:paraId="66FA7213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774EDE74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1,0-2,0</w:t>
            </w:r>
          </w:p>
        </w:tc>
        <w:tc>
          <w:tcPr>
            <w:tcW w:w="2551" w:type="dxa"/>
            <w:vMerge w:val="restart"/>
            <w:vAlign w:val="center"/>
          </w:tcPr>
          <w:p w14:paraId="27B911B6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Пары</w:t>
            </w:r>
          </w:p>
        </w:tc>
        <w:tc>
          <w:tcPr>
            <w:tcW w:w="2416" w:type="dxa"/>
            <w:vAlign w:val="center"/>
          </w:tcPr>
          <w:p w14:paraId="01E9397B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Однолетние злаковые и двудольные сорные растения</w:t>
            </w:r>
          </w:p>
        </w:tc>
        <w:tc>
          <w:tcPr>
            <w:tcW w:w="1978" w:type="dxa"/>
            <w:vMerge w:val="restart"/>
            <w:vAlign w:val="center"/>
          </w:tcPr>
          <w:p w14:paraId="6B4EC64C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Опрыскивание вегетирующих сорных растений в период их активного роста.</w:t>
            </w:r>
          </w:p>
          <w:p w14:paraId="481A4EAB" w14:textId="77777777" w:rsidR="00436EC4" w:rsidRPr="00FE70D5" w:rsidRDefault="00436EC4" w:rsidP="009D4AD6">
            <w:pPr>
              <w:tabs>
                <w:tab w:val="left" w:pos="1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Расход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рабочей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жидкости - 100-200 л/га</w:t>
            </w:r>
          </w:p>
        </w:tc>
        <w:tc>
          <w:tcPr>
            <w:tcW w:w="1412" w:type="dxa"/>
            <w:vMerge/>
            <w:vAlign w:val="center"/>
          </w:tcPr>
          <w:p w14:paraId="3448C6AC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436EC4" w:rsidRPr="00FE70D5" w14:paraId="218423F0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30F72895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2,0-3,0</w:t>
            </w:r>
          </w:p>
        </w:tc>
        <w:tc>
          <w:tcPr>
            <w:tcW w:w="2551" w:type="dxa"/>
            <w:vMerge/>
            <w:vAlign w:val="center"/>
          </w:tcPr>
          <w:p w14:paraId="14DCA244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6F49BEC7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Многолетние злаковые и двудольные сорные растения</w:t>
            </w:r>
          </w:p>
        </w:tc>
        <w:tc>
          <w:tcPr>
            <w:tcW w:w="1978" w:type="dxa"/>
            <w:vMerge/>
            <w:vAlign w:val="center"/>
          </w:tcPr>
          <w:p w14:paraId="7B28BB58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64A82444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436EC4" w:rsidRPr="00FE70D5" w14:paraId="0A97FEF2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656382DB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3,0-3,5</w:t>
            </w:r>
          </w:p>
        </w:tc>
        <w:tc>
          <w:tcPr>
            <w:tcW w:w="2551" w:type="dxa"/>
            <w:vMerge/>
            <w:vAlign w:val="center"/>
          </w:tcPr>
          <w:p w14:paraId="359FEF24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53A5FAEA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70D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Злостные многолетние сорные растения (свинорой, вьюнок полевой, бодяк полевой и другие корнеотпрысковые)</w:t>
            </w:r>
          </w:p>
        </w:tc>
        <w:tc>
          <w:tcPr>
            <w:tcW w:w="1978" w:type="dxa"/>
            <w:vMerge/>
            <w:vAlign w:val="center"/>
          </w:tcPr>
          <w:p w14:paraId="2197BDC0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555720F3" w14:textId="77777777" w:rsidR="00436EC4" w:rsidRPr="00FE70D5" w:rsidRDefault="00436EC4" w:rsidP="009D4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436EC4" w:rsidRPr="00600698" w14:paraId="4261E6EA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041C3647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1,5-3,0</w:t>
            </w:r>
          </w:p>
        </w:tc>
        <w:tc>
          <w:tcPr>
            <w:tcW w:w="2551" w:type="dxa"/>
            <w:vMerge w:val="restart"/>
            <w:vAlign w:val="center"/>
          </w:tcPr>
          <w:p w14:paraId="495AE349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Земли несельскохозяйственного назначения (охранные зоны линий 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электропередач и просеки, трассы газо-и нефтепроводов, насыпи и полосы отчуждения железных и шоссейных дорог, аэродромы, промышленные территории)</w:t>
            </w:r>
          </w:p>
        </w:tc>
        <w:tc>
          <w:tcPr>
            <w:tcW w:w="2416" w:type="dxa"/>
            <w:vAlign w:val="center"/>
          </w:tcPr>
          <w:p w14:paraId="3ECE48C7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Все виды нежелательных травянистых растений (за исключением 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 xml:space="preserve">относительно устойчивых </w:t>
            </w:r>
            <w:proofErr w:type="spellStart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вейника</w:t>
            </w:r>
            <w:proofErr w:type="spellEnd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тростника), лиственные древесно-кустарниковые породы (осина, береза, ольха)</w:t>
            </w:r>
          </w:p>
        </w:tc>
        <w:tc>
          <w:tcPr>
            <w:tcW w:w="1978" w:type="dxa"/>
            <w:vMerge w:val="restart"/>
            <w:vAlign w:val="center"/>
          </w:tcPr>
          <w:p w14:paraId="0ACACB4B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Опрыскивание вегетирующей нежелательной растительности.</w:t>
            </w:r>
          </w:p>
          <w:p w14:paraId="20E5BD49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Срок возможного пребывания людей на обработанных территориях не ранее 15 дней после обработки. Сбор дикорастущих грибов и ягод в сезон обработок не допускается.</w:t>
            </w:r>
          </w:p>
          <w:p w14:paraId="289B6679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Расход рабочей жидкости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100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200 л/га</w:t>
            </w:r>
          </w:p>
        </w:tc>
        <w:tc>
          <w:tcPr>
            <w:tcW w:w="1412" w:type="dxa"/>
            <w:vMerge/>
            <w:vAlign w:val="center"/>
          </w:tcPr>
          <w:p w14:paraId="6CB6F856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436EC4" w:rsidRPr="00600698" w14:paraId="4A1BCEF7" w14:textId="77777777" w:rsidTr="009D4AD6">
        <w:trPr>
          <w:trHeight w:val="20"/>
          <w:jc w:val="center"/>
        </w:trPr>
        <w:tc>
          <w:tcPr>
            <w:tcW w:w="988" w:type="dxa"/>
            <w:vAlign w:val="center"/>
          </w:tcPr>
          <w:p w14:paraId="40E47999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3,0-4,0</w:t>
            </w:r>
          </w:p>
        </w:tc>
        <w:tc>
          <w:tcPr>
            <w:tcW w:w="2551" w:type="dxa"/>
            <w:vMerge/>
            <w:vAlign w:val="center"/>
          </w:tcPr>
          <w:p w14:paraId="1819AD37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6" w:type="dxa"/>
            <w:vAlign w:val="center"/>
          </w:tcPr>
          <w:p w14:paraId="2C16C729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Относительно устойчивые нежелательные травянистые растения (</w:t>
            </w:r>
            <w:proofErr w:type="spellStart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вейник</w:t>
            </w:r>
            <w:proofErr w:type="spellEnd"/>
            <w:r w:rsidRPr="0060069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, тростник), лиственные древесно-кустарниковые породы (ива, клен, ясень, вяз, акация)</w:t>
            </w:r>
          </w:p>
        </w:tc>
        <w:tc>
          <w:tcPr>
            <w:tcW w:w="1978" w:type="dxa"/>
            <w:vMerge/>
            <w:vAlign w:val="center"/>
          </w:tcPr>
          <w:p w14:paraId="00E341DF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412" w:type="dxa"/>
            <w:vMerge/>
            <w:vAlign w:val="center"/>
          </w:tcPr>
          <w:p w14:paraId="2962B08D" w14:textId="77777777" w:rsidR="00436EC4" w:rsidRPr="00600698" w:rsidRDefault="00436EC4" w:rsidP="009D4AD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27DFB27C" w14:textId="77777777" w:rsidR="00436EC4" w:rsidRPr="001B255B" w:rsidRDefault="00436EC4" w:rsidP="00436E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1B255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Срок ожидания не регламентируется.</w:t>
      </w:r>
    </w:p>
    <w:p w14:paraId="1E696D84" w14:textId="13C91EA2" w:rsidR="000337EC" w:rsidRDefault="00436EC4" w:rsidP="00436EC4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</w:pPr>
      <w:r w:rsidRPr="001B255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В случае производственной необходимости проведения механизированных работ</w:t>
      </w:r>
      <w:r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B255B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на обработанных участках срок безопасного выхода людей на эти площади - не ранее 7 дней после обработки.</w:t>
      </w:r>
    </w:p>
    <w:p w14:paraId="22C0929E" w14:textId="77777777" w:rsidR="000337EC" w:rsidRPr="00E7445A" w:rsidRDefault="000337EC" w:rsidP="00033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E7445A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ГОСТ 32424-2013 препарат Кэйталин Экстра, ВДГ классифицируется как химическая продукция </w:t>
      </w:r>
      <w:r w:rsidRPr="00D46470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bidi="ru-RU"/>
          <w14:ligatures w14:val="none"/>
        </w:rPr>
        <w:t>третьего класса опасности</w:t>
      </w:r>
      <w:r w:rsidRPr="00E7445A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для водных организмов (по наиболее чувствительной группе гидробионтов - рыбам).</w:t>
      </w:r>
    </w:p>
    <w:p w14:paraId="50C588B2" w14:textId="77777777" w:rsidR="000337EC" w:rsidRPr="00674A8D" w:rsidRDefault="000337EC" w:rsidP="00033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</w:pP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В соответствии с </w:t>
      </w:r>
      <w:proofErr w:type="spellStart"/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пп</w:t>
      </w:r>
      <w:proofErr w:type="spellEnd"/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. 6 п. 15 статьи 65 «Водного кодекса Российской Федерации» запрещено применение препарата Кэйталин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Экстра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, </w:t>
      </w:r>
      <w:r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>ВДГ</w:t>
      </w:r>
      <w:r w:rsidRPr="00674A8D">
        <w:rPr>
          <w:rFonts w:ascii="Times New Roman" w:eastAsia="Aptos" w:hAnsi="Times New Roman" w:cs="Times New Roman"/>
          <w:bCs/>
          <w:kern w:val="0"/>
          <w:sz w:val="28"/>
          <w:szCs w:val="28"/>
          <w:lang w:bidi="ru-RU"/>
          <w14:ligatures w14:val="none"/>
        </w:rPr>
        <w:t xml:space="preserve"> в водоохранных зонах водных объектов, включая их частный случай - рыбоохранные зоны.</w:t>
      </w:r>
    </w:p>
    <w:p w14:paraId="3FD5CED0" w14:textId="77777777" w:rsidR="00674A8D" w:rsidRPr="00674A8D" w:rsidRDefault="00674A8D" w:rsidP="00674A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Запрещается применение препарата в личных подсобных хозяйствах, авиационным методом.</w:t>
      </w:r>
    </w:p>
    <w:p w14:paraId="086BCBF8" w14:textId="77777777" w:rsidR="00674A8D" w:rsidRPr="00674A8D" w:rsidRDefault="00674A8D" w:rsidP="00674A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>Запрещаются работы с препаратом без средств индивидуальной защиты органов дыхания, глаз и кожи.</w:t>
      </w:r>
    </w:p>
    <w:p w14:paraId="2A7CAABC" w14:textId="77777777" w:rsidR="00674A8D" w:rsidRPr="00674A8D" w:rsidRDefault="00674A8D" w:rsidP="00674A8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</w:pPr>
      <w:r w:rsidRPr="00674A8D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lastRenderedPageBreak/>
        <w:t>В связи с потенциальной онкогенной опасностью препарата работы с ним должны проводиться только специалистами по защите растений или под их контролем, или лицами, прошедшими специальную профессиональную подготовку.</w:t>
      </w:r>
    </w:p>
    <w:p w14:paraId="0BAEA646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462D72D8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</w:pPr>
      <w:r w:rsidRPr="00674A8D">
        <w:rPr>
          <w:rFonts w:ascii="Times New Roman" w:eastAsia="Aptos" w:hAnsi="Times New Roman" w:cs="Times New Roman"/>
          <w:bCs/>
          <w:color w:val="000000"/>
          <w:kern w:val="0"/>
          <w:sz w:val="28"/>
          <w:szCs w:val="28"/>
          <w14:ligatures w14:val="none"/>
        </w:rPr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02CC6181" w14:textId="7C0A1090" w:rsidR="000337EC" w:rsidRPr="000307EE" w:rsidRDefault="00674A8D" w:rsidP="000337EC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</w:t>
      </w:r>
      <w:r w:rsidRPr="00674A8D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>Согласно заключениям ведущих</w:t>
      </w:r>
      <w:r w:rsidRPr="00674A8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674A8D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НИИ, </w:t>
      </w:r>
      <w:r w:rsidRPr="00674A8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препарат </w:t>
      </w:r>
      <w:bookmarkStart w:id="857" w:name="_Hlk172457761"/>
      <w:r w:rsidR="000337EC" w:rsidRPr="000337EC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Кэйталин Экстра, ВДГ (687 г/кг глифосата кислоты (изопропиламинная соль)</w:t>
      </w:r>
      <w:r w:rsidRPr="00674A8D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bookmarkEnd w:id="857"/>
      <w:r w:rsidRPr="00674A8D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допустим </w:t>
      </w:r>
      <w:r w:rsidRPr="00674A8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качестве </w:t>
      </w:r>
      <w:r w:rsidR="000337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системного </w:t>
      </w:r>
      <w:r w:rsidR="000337EC" w:rsidRPr="000307E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гербицид</w:t>
      </w:r>
      <w:r w:rsidR="000337E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</w:t>
      </w:r>
      <w:r w:rsidR="000337EC" w:rsidRPr="000307E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сплошного действия для подавления однолетних и многолетних сорняков при послевсходовом применении.</w:t>
      </w:r>
    </w:p>
    <w:p w14:paraId="630DE0A2" w14:textId="71698B41" w:rsidR="00674A8D" w:rsidRPr="00674A8D" w:rsidRDefault="00674A8D" w:rsidP="00674A8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  <w:r w:rsidRPr="00674A8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представленный фактический материал, используемый для оценки воздействия гербицида </w:t>
      </w:r>
      <w:r w:rsidR="000337EC" w:rsidRPr="000337EC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Кэйталин Экстра, ВДГ (687 г/кг глифосата кислоты (изопропиламинная соль)</w:t>
      </w:r>
      <w:r w:rsidRPr="00674A8D">
        <w:rPr>
          <w:rFonts w:ascii="Times New Roman" w:eastAsia="Calibri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Pr="00674A8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266F857D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1F60CFB3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Проведенная оценка воздействия (оценка экологического риска) гербицида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гербицида на окружающую среду.</w:t>
      </w:r>
    </w:p>
    <w:p w14:paraId="600CBDD9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63DC1408" w14:textId="4117FC9D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Таким образом, с биологических, экологических и токсиколого-гигиенических позиций препарат </w:t>
      </w:r>
      <w:r w:rsidR="000337EC" w:rsidRPr="000337EC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>Кэйталин Экстра, ВДГ (687 г/кг глифосата кислоты (изопропиламинная соль)</w:t>
      </w:r>
      <w:r w:rsidRPr="00674A8D"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  <w:t xml:space="preserve"> </w:t>
      </w:r>
      <w:r w:rsidRPr="00674A8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может рекомендоваться к регистрации в России.</w:t>
      </w:r>
    </w:p>
    <w:p w14:paraId="0CF96DD2" w14:textId="77777777" w:rsidR="00674A8D" w:rsidRPr="00674A8D" w:rsidRDefault="00674A8D" w:rsidP="00674A8D">
      <w:pPr>
        <w:spacing w:line="256" w:lineRule="auto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74A8D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7F6CEE1" w14:textId="77777777" w:rsidR="00674A8D" w:rsidRPr="00674A8D" w:rsidRDefault="00674A8D" w:rsidP="00674A8D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58" w:name="_Toc180068330"/>
      <w:r w:rsidRPr="00674A8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9. ПЕРЕЧЕНЬ ДОКУМЕНТОВ ПО НОРМАТИВНО-МЕТОДИЧЕСКОМУ ОБЕСПЕЧЕНИЮ И ИСПОЛЬЗУЕМАЯ ЛИТЕРАТУРА</w:t>
      </w:r>
      <w:bookmarkEnd w:id="858"/>
    </w:p>
    <w:p w14:paraId="326B736B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859" w:name="_Hlk117606482"/>
      <w:r w:rsidRPr="00674A8D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bookmarkEnd w:id="859"/>
    <w:p w14:paraId="506610E4" w14:textId="77777777" w:rsidR="002D65B3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6A2E4B3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22C9A1E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4214ABC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6C3D0654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860" w:name="_Hlk169800842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860"/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C28C444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42FE595E" w14:textId="77777777" w:rsidR="002D65B3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2B73DF2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3AD03BBD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61909ECB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0428C97C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2BC65791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731A0E05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4998C66F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05016A78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225E1E6A" w14:textId="77777777" w:rsidR="002D65B3" w:rsidRPr="00814EEF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0FC1916B" w14:textId="77777777" w:rsidR="002D65B3" w:rsidRPr="00BE3213" w:rsidRDefault="002D65B3" w:rsidP="002D65B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p w14:paraId="04690D83" w14:textId="77777777" w:rsidR="00674A8D" w:rsidRPr="00674A8D" w:rsidRDefault="00674A8D" w:rsidP="00674A8D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color w:val="000000"/>
          <w:kern w:val="0"/>
          <w:sz w:val="28"/>
          <w:szCs w:val="28"/>
          <w:lang w:bidi="ru-RU"/>
          <w14:ligatures w14:val="none"/>
        </w:rPr>
      </w:pPr>
    </w:p>
    <w:p w14:paraId="4491B891" w14:textId="77777777" w:rsidR="00D40054" w:rsidRDefault="00D40054"/>
    <w:sectPr w:rsidR="00D40054" w:rsidSect="0014728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F4D8D" w14:textId="77777777" w:rsidR="002A4057" w:rsidRDefault="002A4057" w:rsidP="00147285">
      <w:pPr>
        <w:spacing w:after="0" w:line="240" w:lineRule="auto"/>
      </w:pPr>
      <w:r>
        <w:separator/>
      </w:r>
    </w:p>
  </w:endnote>
  <w:endnote w:type="continuationSeparator" w:id="0">
    <w:p w14:paraId="3BDBB1EE" w14:textId="77777777" w:rsidR="002A4057" w:rsidRDefault="002A4057" w:rsidP="00147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28BF5" w14:textId="77777777" w:rsidR="002A4057" w:rsidRDefault="002A4057" w:rsidP="00147285">
      <w:pPr>
        <w:spacing w:after="0" w:line="240" w:lineRule="auto"/>
      </w:pPr>
      <w:r>
        <w:separator/>
      </w:r>
    </w:p>
  </w:footnote>
  <w:footnote w:type="continuationSeparator" w:id="0">
    <w:p w14:paraId="786B9FFA" w14:textId="77777777" w:rsidR="002A4057" w:rsidRDefault="002A4057" w:rsidP="001472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87848348"/>
      <w:docPartObj>
        <w:docPartGallery w:val="Page Numbers (Top of Page)"/>
        <w:docPartUnique/>
      </w:docPartObj>
    </w:sdtPr>
    <w:sdtContent>
      <w:p w14:paraId="4624E082" w14:textId="5667FDAB" w:rsidR="00147285" w:rsidRDefault="00147285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AFCD88" w14:textId="77777777" w:rsidR="00147285" w:rsidRDefault="0014728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88345011">
    <w:abstractNumId w:val="1"/>
  </w:num>
  <w:num w:numId="2" w16cid:durableId="528417940">
    <w:abstractNumId w:val="1"/>
  </w:num>
  <w:num w:numId="3" w16cid:durableId="1237015839">
    <w:abstractNumId w:val="2"/>
  </w:num>
  <w:num w:numId="4" w16cid:durableId="776103423">
    <w:abstractNumId w:val="2"/>
  </w:num>
  <w:num w:numId="5" w16cid:durableId="1448429433">
    <w:abstractNumId w:val="0"/>
  </w:num>
  <w:num w:numId="6" w16cid:durableId="656034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A8D"/>
    <w:rsid w:val="000307EE"/>
    <w:rsid w:val="000337EC"/>
    <w:rsid w:val="000755A9"/>
    <w:rsid w:val="000A6533"/>
    <w:rsid w:val="000B308B"/>
    <w:rsid w:val="00137840"/>
    <w:rsid w:val="00147285"/>
    <w:rsid w:val="001668B0"/>
    <w:rsid w:val="001775E3"/>
    <w:rsid w:val="001B255B"/>
    <w:rsid w:val="001B7C10"/>
    <w:rsid w:val="001F1340"/>
    <w:rsid w:val="00246694"/>
    <w:rsid w:val="00264EB8"/>
    <w:rsid w:val="0028504A"/>
    <w:rsid w:val="002951EE"/>
    <w:rsid w:val="00297106"/>
    <w:rsid w:val="002A4057"/>
    <w:rsid w:val="002B7B55"/>
    <w:rsid w:val="002D65B3"/>
    <w:rsid w:val="002F2549"/>
    <w:rsid w:val="003310C9"/>
    <w:rsid w:val="00336E84"/>
    <w:rsid w:val="00391AF6"/>
    <w:rsid w:val="00436EC4"/>
    <w:rsid w:val="004709DF"/>
    <w:rsid w:val="00494E80"/>
    <w:rsid w:val="004F77E9"/>
    <w:rsid w:val="00503ACB"/>
    <w:rsid w:val="005C5EA2"/>
    <w:rsid w:val="005F053C"/>
    <w:rsid w:val="005F5330"/>
    <w:rsid w:val="00600698"/>
    <w:rsid w:val="00631CB2"/>
    <w:rsid w:val="006329F2"/>
    <w:rsid w:val="00660A5C"/>
    <w:rsid w:val="00674A8D"/>
    <w:rsid w:val="006909CB"/>
    <w:rsid w:val="006B59FC"/>
    <w:rsid w:val="006F1DBB"/>
    <w:rsid w:val="00712268"/>
    <w:rsid w:val="00714554"/>
    <w:rsid w:val="00737E47"/>
    <w:rsid w:val="00793557"/>
    <w:rsid w:val="007A64A5"/>
    <w:rsid w:val="007C108A"/>
    <w:rsid w:val="007C36FD"/>
    <w:rsid w:val="007E6032"/>
    <w:rsid w:val="0083069C"/>
    <w:rsid w:val="00881B94"/>
    <w:rsid w:val="008A7870"/>
    <w:rsid w:val="008C5B2E"/>
    <w:rsid w:val="008F359C"/>
    <w:rsid w:val="00924C7F"/>
    <w:rsid w:val="00973E48"/>
    <w:rsid w:val="00987473"/>
    <w:rsid w:val="009A52AC"/>
    <w:rsid w:val="009A7C93"/>
    <w:rsid w:val="00A22346"/>
    <w:rsid w:val="00A67860"/>
    <w:rsid w:val="00AD28D8"/>
    <w:rsid w:val="00AF287D"/>
    <w:rsid w:val="00B2713A"/>
    <w:rsid w:val="00B36851"/>
    <w:rsid w:val="00BA5E8D"/>
    <w:rsid w:val="00BC68C5"/>
    <w:rsid w:val="00BE741B"/>
    <w:rsid w:val="00C01918"/>
    <w:rsid w:val="00C037C9"/>
    <w:rsid w:val="00C070BF"/>
    <w:rsid w:val="00C652A6"/>
    <w:rsid w:val="00C76114"/>
    <w:rsid w:val="00C84EF3"/>
    <w:rsid w:val="00C86E1F"/>
    <w:rsid w:val="00CB0C3F"/>
    <w:rsid w:val="00CD3971"/>
    <w:rsid w:val="00D243F5"/>
    <w:rsid w:val="00D40054"/>
    <w:rsid w:val="00D46470"/>
    <w:rsid w:val="00D837A6"/>
    <w:rsid w:val="00D9638A"/>
    <w:rsid w:val="00D97C6F"/>
    <w:rsid w:val="00DB646C"/>
    <w:rsid w:val="00DE09A6"/>
    <w:rsid w:val="00DF5930"/>
    <w:rsid w:val="00DF5F1A"/>
    <w:rsid w:val="00E7445A"/>
    <w:rsid w:val="00EB0454"/>
    <w:rsid w:val="00F8688B"/>
    <w:rsid w:val="00FE70D5"/>
    <w:rsid w:val="00FF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66EAD"/>
  <w15:chartTrackingRefBased/>
  <w15:docId w15:val="{C69165C0-6B5C-4E88-82FA-064B873C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EC4"/>
  </w:style>
  <w:style w:type="paragraph" w:styleId="1">
    <w:name w:val="heading 1"/>
    <w:basedOn w:val="a"/>
    <w:next w:val="a"/>
    <w:link w:val="10"/>
    <w:uiPriority w:val="9"/>
    <w:qFormat/>
    <w:rsid w:val="00674A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4A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4A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4A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A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4A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4A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4A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4A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4A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4A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4A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4A8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74A8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74A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74A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74A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74A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74A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74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4A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74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4A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74A8D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674A8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674A8D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674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674A8D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674A8D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674A8D"/>
  </w:style>
  <w:style w:type="character" w:styleId="ad">
    <w:name w:val="Hyperlink"/>
    <w:basedOn w:val="a0"/>
    <w:uiPriority w:val="99"/>
    <w:unhideWhenUsed/>
    <w:rsid w:val="00674A8D"/>
    <w:rPr>
      <w:color w:val="467886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674A8D"/>
    <w:rPr>
      <w:color w:val="96607D" w:themeColor="followedHyperlink"/>
      <w:u w:val="single"/>
    </w:rPr>
  </w:style>
  <w:style w:type="paragraph" w:customStyle="1" w:styleId="msonormal0">
    <w:name w:val="msonormal"/>
    <w:basedOn w:val="a"/>
    <w:rsid w:val="00674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674A8D"/>
    <w:pPr>
      <w:spacing w:after="100" w:line="252" w:lineRule="auto"/>
    </w:pPr>
    <w:rPr>
      <w:rFonts w:ascii="Aptos" w:eastAsia="Aptos" w:hAnsi="Aptos" w:cs="Times New Roman"/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674A8D"/>
    <w:pPr>
      <w:spacing w:after="100" w:line="252" w:lineRule="auto"/>
      <w:ind w:left="220"/>
    </w:pPr>
    <w:rPr>
      <w:rFonts w:ascii="Aptos" w:eastAsia="Aptos" w:hAnsi="Aptos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674A8D"/>
    <w:pPr>
      <w:spacing w:after="100" w:line="252" w:lineRule="auto"/>
      <w:ind w:left="440"/>
    </w:pPr>
    <w:rPr>
      <w:rFonts w:ascii="Aptos" w:eastAsia="Aptos" w:hAnsi="Aptos" w:cs="Times New Roman"/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674A8D"/>
    <w:pPr>
      <w:spacing w:after="100" w:line="252" w:lineRule="auto"/>
      <w:ind w:left="660"/>
    </w:pPr>
    <w:rPr>
      <w:rFonts w:ascii="Aptos" w:eastAsia="Aptos" w:hAnsi="Aptos" w:cs="Times New Roman"/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674A8D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0">
    <w:name w:val="Верхний колонтитул Знак"/>
    <w:basedOn w:val="a0"/>
    <w:link w:val="af"/>
    <w:uiPriority w:val="99"/>
    <w:rsid w:val="00674A8D"/>
    <w:rPr>
      <w:rFonts w:ascii="Aptos" w:eastAsia="Aptos" w:hAnsi="Aptos" w:cs="Times New Roman"/>
      <w:kern w:val="0"/>
      <w14:ligatures w14:val="none"/>
    </w:rPr>
  </w:style>
  <w:style w:type="paragraph" w:styleId="af1">
    <w:name w:val="footer"/>
    <w:basedOn w:val="a"/>
    <w:link w:val="af2"/>
    <w:uiPriority w:val="99"/>
    <w:unhideWhenUsed/>
    <w:rsid w:val="00674A8D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2">
    <w:name w:val="Нижний колонтитул Знак"/>
    <w:basedOn w:val="a0"/>
    <w:link w:val="af1"/>
    <w:uiPriority w:val="99"/>
    <w:rsid w:val="00674A8D"/>
    <w:rPr>
      <w:rFonts w:ascii="Aptos" w:eastAsia="Aptos" w:hAnsi="Aptos" w:cs="Times New Roman"/>
      <w:kern w:val="0"/>
      <w14:ligatures w14:val="none"/>
    </w:rPr>
  </w:style>
  <w:style w:type="paragraph" w:styleId="af3">
    <w:name w:val="Body Text"/>
    <w:basedOn w:val="a"/>
    <w:link w:val="af4"/>
    <w:uiPriority w:val="99"/>
    <w:semiHidden/>
    <w:unhideWhenUsed/>
    <w:rsid w:val="00674A8D"/>
    <w:pPr>
      <w:spacing w:after="120" w:line="252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674A8D"/>
    <w:rPr>
      <w:rFonts w:ascii="Aptos" w:eastAsia="Aptos" w:hAnsi="Aptos" w:cs="Times New Roman"/>
      <w:kern w:val="0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674A8D"/>
  </w:style>
  <w:style w:type="paragraph" w:styleId="af5">
    <w:name w:val="TOC Heading"/>
    <w:basedOn w:val="1"/>
    <w:next w:val="a"/>
    <w:uiPriority w:val="39"/>
    <w:semiHidden/>
    <w:unhideWhenUsed/>
    <w:qFormat/>
    <w:rsid w:val="00674A8D"/>
    <w:pPr>
      <w:spacing w:before="240" w:after="0" w:line="254" w:lineRule="auto"/>
      <w:outlineLvl w:val="9"/>
    </w:pPr>
    <w:rPr>
      <w:rFonts w:ascii="Aptos Display" w:eastAsia="Times New Roman" w:hAnsi="Aptos Display" w:cs="Times New Roman"/>
      <w:kern w:val="0"/>
      <w:sz w:val="32"/>
      <w:szCs w:val="32"/>
      <w:lang w:eastAsia="ru-RU"/>
      <w14:ligatures w14:val="none"/>
    </w:rPr>
  </w:style>
  <w:style w:type="character" w:customStyle="1" w:styleId="af6">
    <w:name w:val="Другое_"/>
    <w:basedOn w:val="a0"/>
    <w:link w:val="af7"/>
    <w:uiPriority w:val="99"/>
    <w:locked/>
    <w:rsid w:val="00674A8D"/>
    <w:rPr>
      <w:rFonts w:ascii="Times New Roman" w:hAnsi="Times New Roman" w:cs="Times New Roman"/>
      <w:color w:val="000000"/>
      <w:sz w:val="28"/>
      <w:szCs w:val="28"/>
    </w:rPr>
  </w:style>
  <w:style w:type="paragraph" w:customStyle="1" w:styleId="af7">
    <w:name w:val="Другое"/>
    <w:basedOn w:val="a"/>
    <w:link w:val="af6"/>
    <w:uiPriority w:val="99"/>
    <w:rsid w:val="00674A8D"/>
    <w:pPr>
      <w:spacing w:after="0" w:line="360" w:lineRule="auto"/>
      <w:ind w:firstLine="400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f8">
    <w:name w:val="Основной текст_"/>
    <w:basedOn w:val="a0"/>
    <w:link w:val="13"/>
    <w:locked/>
    <w:rsid w:val="00674A8D"/>
    <w:rPr>
      <w:rFonts w:ascii="Times New Roman" w:eastAsia="Times New Roman" w:hAnsi="Times New Roman" w:cs="Times New Roman"/>
    </w:rPr>
  </w:style>
  <w:style w:type="paragraph" w:customStyle="1" w:styleId="13">
    <w:name w:val="Основной текст1"/>
    <w:basedOn w:val="a"/>
    <w:link w:val="af8"/>
    <w:rsid w:val="00674A8D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character" w:styleId="af9">
    <w:name w:val="Placeholder Text"/>
    <w:basedOn w:val="a0"/>
    <w:uiPriority w:val="99"/>
    <w:semiHidden/>
    <w:rsid w:val="00674A8D"/>
    <w:rPr>
      <w:color w:val="666666"/>
    </w:rPr>
  </w:style>
  <w:style w:type="table" w:styleId="afa">
    <w:name w:val="Table Grid"/>
    <w:basedOn w:val="a1"/>
    <w:uiPriority w:val="39"/>
    <w:rsid w:val="00674A8D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65835-3ECA-4BDB-8E1B-6371CC562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83</Pages>
  <Words>18698</Words>
  <Characters>106583</Characters>
  <Application>Microsoft Office Word</Application>
  <DocSecurity>0</DocSecurity>
  <Lines>888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87</cp:revision>
  <dcterms:created xsi:type="dcterms:W3CDTF">2024-10-17T06:57:00Z</dcterms:created>
  <dcterms:modified xsi:type="dcterms:W3CDTF">2024-11-18T13:35:00Z</dcterms:modified>
</cp:coreProperties>
</file>